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00" w:lineRule="auto"/>
        <w:rPr>
          <w:rFonts w:hint="eastAsia" w:ascii="黑体" w:hAnsi="黑体" w:eastAsia="黑体" w:cs="黑体"/>
          <w:sz w:val="32"/>
          <w:szCs w:val="32"/>
        </w:rPr>
      </w:pPr>
      <w:bookmarkStart w:id="0" w:name="OLE_LINK2"/>
      <w:bookmarkStart w:id="1" w:name="OLE_LINK1"/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spacing w:before="156" w:beforeLines="50" w:after="156" w:afterLines="50" w:line="300" w:lineRule="auto"/>
        <w:jc w:val="center"/>
        <w:rPr>
          <w:rFonts w:eastAsia="黑体"/>
          <w:snapToGrid w:val="0"/>
          <w:kern w:val="0"/>
          <w:sz w:val="32"/>
          <w:szCs w:val="32"/>
        </w:rPr>
      </w:pPr>
      <w:r>
        <w:rPr>
          <w:rFonts w:eastAsia="黑体"/>
          <w:sz w:val="32"/>
          <w:szCs w:val="32"/>
        </w:rPr>
        <w:t>体外皮肤变态反应ARE-Nrf2荧光素酶LuSens试验</w:t>
      </w:r>
      <w:r>
        <w:rPr>
          <w:rFonts w:hint="eastAsia" w:eastAsia="黑体"/>
          <w:snapToGrid w:val="0"/>
          <w:kern w:val="0"/>
          <w:sz w:val="32"/>
          <w:szCs w:val="32"/>
        </w:rPr>
        <w:t>方法</w:t>
      </w:r>
    </w:p>
    <w:bookmarkEnd w:id="0"/>
    <w:bookmarkEnd w:id="1"/>
    <w:p>
      <w:pPr>
        <w:spacing w:before="156" w:beforeLines="50" w:after="156" w:afterLines="50" w:line="300" w:lineRule="auto"/>
        <w:jc w:val="center"/>
        <w:rPr>
          <w:rFonts w:eastAsia="黑体"/>
          <w:szCs w:val="21"/>
        </w:rPr>
      </w:pPr>
      <w:r>
        <w:rPr>
          <w:rFonts w:eastAsia="黑体"/>
          <w:szCs w:val="21"/>
        </w:rPr>
        <w:t>In Chemico Skin Sensitisation The ARE-Nrf2 Luciferase LuSens Test</w:t>
      </w:r>
    </w:p>
    <w:p>
      <w:pPr>
        <w:spacing w:before="156" w:beforeLines="50" w:after="156" w:afterLines="50" w:line="300" w:lineRule="auto"/>
        <w:rPr>
          <w:rFonts w:eastAsia="黑体"/>
          <w:szCs w:val="21"/>
        </w:rPr>
      </w:pPr>
      <w:r>
        <w:rPr>
          <w:rFonts w:eastAsia="黑体"/>
          <w:szCs w:val="21"/>
        </w:rPr>
        <w:t>1  范围</w:t>
      </w:r>
    </w:p>
    <w:p>
      <w:pPr>
        <w:spacing w:line="300" w:lineRule="auto"/>
        <w:ind w:firstLine="420" w:firstLineChars="200"/>
        <w:rPr>
          <w:snapToGrid w:val="0"/>
        </w:rPr>
      </w:pPr>
      <w:r>
        <w:rPr>
          <w:snapToGrid w:val="0"/>
        </w:rPr>
        <w:t>本方法规定了体外皮肤</w:t>
      </w:r>
      <w:bookmarkStart w:id="5" w:name="_GoBack"/>
      <w:bookmarkEnd w:id="5"/>
      <w:r>
        <w:rPr>
          <w:snapToGrid w:val="0"/>
        </w:rPr>
        <w:t>变态反应ARE-Nrf2荧光素酶LuSens试验的基本</w:t>
      </w:r>
      <w:r>
        <w:rPr>
          <w:rFonts w:hint="eastAsia"/>
          <w:snapToGrid w:val="0"/>
        </w:rPr>
        <w:t>原理</w:t>
      </w:r>
      <w:r>
        <w:rPr>
          <w:snapToGrid w:val="0"/>
        </w:rPr>
        <w:t>、</w:t>
      </w:r>
      <w:r>
        <w:rPr>
          <w:rFonts w:hint="eastAsia"/>
          <w:snapToGrid w:val="0"/>
        </w:rPr>
        <w:t>试验方法和技术要求。</w:t>
      </w:r>
    </w:p>
    <w:p>
      <w:pPr>
        <w:spacing w:line="300" w:lineRule="auto"/>
        <w:ind w:firstLine="420" w:firstLineChars="200"/>
        <w:rPr>
          <w:snapToGrid w:val="0"/>
        </w:rPr>
      </w:pPr>
      <w:r>
        <w:rPr>
          <w:snapToGrid w:val="0"/>
        </w:rPr>
        <w:t>本方法适用于化妆品用化学原料潜在致敏性的评价。</w:t>
      </w:r>
    </w:p>
    <w:p>
      <w:pPr>
        <w:spacing w:before="156" w:beforeLines="50" w:after="156" w:afterLines="50" w:line="300" w:lineRule="auto"/>
        <w:rPr>
          <w:rFonts w:eastAsia="黑体"/>
          <w:szCs w:val="21"/>
        </w:rPr>
      </w:pPr>
      <w:r>
        <w:rPr>
          <w:rFonts w:eastAsia="黑体"/>
          <w:szCs w:val="21"/>
        </w:rPr>
        <w:t>2  试验目的</w:t>
      </w:r>
    </w:p>
    <w:p>
      <w:pPr>
        <w:spacing w:line="300" w:lineRule="auto"/>
        <w:ind w:firstLine="420" w:firstLineChars="200"/>
        <w:rPr>
          <w:snapToGrid w:val="0"/>
        </w:rPr>
      </w:pPr>
      <w:r>
        <w:rPr>
          <w:snapToGrid w:val="0"/>
        </w:rPr>
        <w:t>本试验</w:t>
      </w:r>
      <w:r>
        <w:rPr>
          <w:rFonts w:hint="eastAsia"/>
          <w:snapToGrid w:val="0"/>
        </w:rPr>
        <w:t>通过检</w:t>
      </w:r>
      <w:r>
        <w:rPr>
          <w:snapToGrid w:val="0"/>
        </w:rPr>
        <w:t>测体外培养的LuSens细胞荧光素酶的表达变化，以评价受试物引起皮肤变态反应的可能性。</w:t>
      </w:r>
    </w:p>
    <w:p>
      <w:pPr>
        <w:spacing w:before="156" w:beforeLines="50" w:after="156" w:afterLines="50" w:line="300" w:lineRule="auto"/>
        <w:rPr>
          <w:rFonts w:eastAsia="黑体"/>
          <w:szCs w:val="21"/>
        </w:rPr>
      </w:pPr>
      <w:r>
        <w:rPr>
          <w:rFonts w:eastAsia="黑体"/>
          <w:szCs w:val="21"/>
        </w:rPr>
        <w:t>3  定义</w:t>
      </w:r>
    </w:p>
    <w:p>
      <w:pPr>
        <w:widowControl/>
        <w:jc w:val="left"/>
        <w:rPr>
          <w:szCs w:val="21"/>
        </w:rPr>
      </w:pPr>
      <w:r>
        <w:rPr>
          <w:szCs w:val="21"/>
        </w:rPr>
        <w:t xml:space="preserve">3.1  75%细胞存活率浓度值  </w:t>
      </w:r>
      <w:r>
        <w:rPr>
          <w:color w:val="000000"/>
          <w:kern w:val="0"/>
          <w:sz w:val="19"/>
          <w:szCs w:val="19"/>
          <w:lang w:bidi="ar"/>
        </w:rPr>
        <w:t>the estimated concentration resulting</w:t>
      </w:r>
      <w:r>
        <w:rPr>
          <w:rFonts w:hint="eastAsia"/>
          <w:color w:val="000000"/>
          <w:kern w:val="0"/>
          <w:sz w:val="19"/>
          <w:szCs w:val="19"/>
          <w:lang w:bidi="ar"/>
        </w:rPr>
        <w:t xml:space="preserve"> </w:t>
      </w:r>
      <w:r>
        <w:rPr>
          <w:color w:val="000000"/>
          <w:kern w:val="0"/>
          <w:sz w:val="19"/>
          <w:szCs w:val="19"/>
          <w:lang w:bidi="ar"/>
        </w:rPr>
        <w:t xml:space="preserve">in </w:t>
      </w:r>
      <w:r>
        <w:rPr>
          <w:szCs w:val="21"/>
        </w:rPr>
        <w:t>75% cell viability（CV75）</w:t>
      </w:r>
    </w:p>
    <w:p>
      <w:pPr>
        <w:spacing w:line="300" w:lineRule="auto"/>
        <w:ind w:firstLine="420" w:firstLineChars="200"/>
        <w:rPr>
          <w:snapToGrid w:val="0"/>
        </w:rPr>
      </w:pPr>
      <w:r>
        <w:rPr>
          <w:snapToGrid w:val="0"/>
        </w:rPr>
        <w:t>受试物染毒后，细胞存活率为75%时对应的受试物浓度值。</w:t>
      </w:r>
    </w:p>
    <w:p>
      <w:pPr>
        <w:spacing w:before="156" w:beforeLines="50" w:after="156" w:afterLines="50" w:line="300" w:lineRule="auto"/>
        <w:rPr>
          <w:szCs w:val="21"/>
        </w:rPr>
      </w:pPr>
      <w:r>
        <w:rPr>
          <w:szCs w:val="21"/>
        </w:rPr>
        <w:t>3.2  抗氧化反应元件  antioxidant response element（ARE）</w:t>
      </w:r>
    </w:p>
    <w:p>
      <w:pPr>
        <w:spacing w:line="300" w:lineRule="auto"/>
        <w:ind w:firstLine="420" w:firstLineChars="200"/>
        <w:rPr>
          <w:snapToGrid w:val="0"/>
        </w:rPr>
      </w:pPr>
      <w:r>
        <w:rPr>
          <w:rFonts w:hint="eastAsia"/>
          <w:snapToGrid w:val="0"/>
        </w:rPr>
        <w:t>存在于</w:t>
      </w:r>
      <w:r>
        <w:rPr>
          <w:snapToGrid w:val="0"/>
        </w:rPr>
        <w:t>细胞保护基因的启动子</w:t>
      </w:r>
      <w:r>
        <w:rPr>
          <w:rFonts w:hint="eastAsia"/>
          <w:snapToGrid w:val="0"/>
        </w:rPr>
        <w:t>区域，能够响应氧化应激并调控相关基因表达的作用</w:t>
      </w:r>
      <w:r>
        <w:rPr>
          <w:snapToGrid w:val="0"/>
        </w:rPr>
        <w:t>元件。</w:t>
      </w:r>
    </w:p>
    <w:p>
      <w:pPr>
        <w:spacing w:before="156" w:beforeLines="50" w:after="156" w:afterLines="50" w:line="300" w:lineRule="auto"/>
        <w:rPr>
          <w:szCs w:val="21"/>
        </w:rPr>
      </w:pPr>
      <w:r>
        <w:rPr>
          <w:szCs w:val="21"/>
        </w:rPr>
        <w:t>3.3  荧光素酶活性诱导倍数</w:t>
      </w:r>
      <w:r>
        <w:rPr>
          <w:rFonts w:hint="eastAsia"/>
          <w:szCs w:val="21"/>
        </w:rPr>
        <w:t>f</w:t>
      </w:r>
      <w:r>
        <w:rPr>
          <w:szCs w:val="21"/>
        </w:rPr>
        <w:t xml:space="preserve">old luciferase activity induction（Fold </w:t>
      </w:r>
      <w:r>
        <w:rPr>
          <w:rFonts w:hint="eastAsia"/>
          <w:szCs w:val="21"/>
        </w:rPr>
        <w:t>I</w:t>
      </w:r>
      <w:r>
        <w:rPr>
          <w:szCs w:val="21"/>
        </w:rPr>
        <w:t>nduction）</w:t>
      </w:r>
    </w:p>
    <w:p>
      <w:pPr>
        <w:spacing w:line="300" w:lineRule="auto"/>
        <w:ind w:firstLine="420" w:firstLineChars="200"/>
        <w:rPr>
          <w:snapToGrid w:val="0"/>
        </w:rPr>
      </w:pPr>
      <w:r>
        <w:rPr>
          <w:snapToGrid w:val="0"/>
        </w:rPr>
        <w:t>扣除空白对照后，受试物和溶剂对照的细胞发光比值。</w:t>
      </w:r>
    </w:p>
    <w:p>
      <w:pPr>
        <w:spacing w:before="156" w:beforeLines="50" w:after="156" w:afterLines="50" w:line="300" w:lineRule="auto"/>
        <w:rPr>
          <w:rFonts w:hint="eastAsia" w:eastAsia="黑体"/>
          <w:szCs w:val="21"/>
        </w:rPr>
      </w:pPr>
      <w:r>
        <w:rPr>
          <w:rFonts w:eastAsia="黑体"/>
          <w:szCs w:val="21"/>
        </w:rPr>
        <w:t>4  试验的基本原</w:t>
      </w:r>
      <w:r>
        <w:rPr>
          <w:rFonts w:hint="eastAsia" w:eastAsia="黑体"/>
          <w:szCs w:val="21"/>
        </w:rPr>
        <w:t>理</w:t>
      </w:r>
    </w:p>
    <w:p>
      <w:pPr>
        <w:spacing w:line="300" w:lineRule="auto"/>
        <w:ind w:firstLine="420" w:firstLineChars="200"/>
        <w:rPr>
          <w:snapToGrid w:val="0"/>
        </w:rPr>
      </w:pPr>
      <w:r>
        <w:rPr>
          <w:snapToGrid w:val="0"/>
        </w:rPr>
        <w:t>致敏物质接触皮肤后，角质形成细胞被激活，诱导炎症反应及特定细胞信号通路相关基因的表达。体外培养含有荧光素酶报告基因的人角质形成细胞（LuSens细胞），暴露于受试物，通过计算细胞相对存活率和荧光素酶活性，从而预测受试物是否具有皮肤致敏性。</w:t>
      </w:r>
    </w:p>
    <w:p>
      <w:pPr>
        <w:spacing w:before="156" w:beforeLines="50" w:after="156" w:afterLines="50" w:line="300" w:lineRule="auto"/>
        <w:rPr>
          <w:rFonts w:eastAsia="黑体"/>
          <w:szCs w:val="21"/>
        </w:rPr>
      </w:pPr>
      <w:r>
        <w:rPr>
          <w:rFonts w:eastAsia="黑体"/>
          <w:szCs w:val="21"/>
        </w:rPr>
        <w:t>5  试验材料与试剂</w:t>
      </w:r>
    </w:p>
    <w:p>
      <w:pPr>
        <w:spacing w:before="156" w:beforeLines="50" w:after="156" w:afterLines="50" w:line="300" w:lineRule="auto"/>
        <w:rPr>
          <w:szCs w:val="21"/>
        </w:rPr>
      </w:pPr>
      <w:r>
        <w:rPr>
          <w:szCs w:val="21"/>
        </w:rPr>
        <w:t>5.1  细胞</w:t>
      </w:r>
    </w:p>
    <w:p>
      <w:pPr>
        <w:spacing w:line="300" w:lineRule="auto"/>
        <w:ind w:firstLine="420" w:firstLineChars="200"/>
        <w:rPr>
          <w:snapToGrid w:val="0"/>
        </w:rPr>
      </w:pPr>
      <w:r>
        <w:rPr>
          <w:snapToGrid w:val="0"/>
        </w:rPr>
        <w:t>含有ARE荧光素酶报告基因的人角质形成细胞株（LuSens细胞株）。</w:t>
      </w:r>
    </w:p>
    <w:p>
      <w:pPr>
        <w:spacing w:before="156" w:beforeLines="50" w:after="156" w:afterLines="50" w:line="300" w:lineRule="auto"/>
        <w:rPr>
          <w:szCs w:val="21"/>
        </w:rPr>
      </w:pPr>
      <w:r>
        <w:rPr>
          <w:szCs w:val="21"/>
        </w:rPr>
        <w:t xml:space="preserve">5.2  培养基 </w:t>
      </w:r>
    </w:p>
    <w:p>
      <w:pPr>
        <w:spacing w:line="300" w:lineRule="auto"/>
        <w:ind w:firstLine="420" w:firstLineChars="200"/>
        <w:rPr>
          <w:snapToGrid w:val="0"/>
        </w:rPr>
      </w:pPr>
      <w:r>
        <w:rPr>
          <w:snapToGrid w:val="0"/>
        </w:rPr>
        <w:t>细胞培养液1：</w:t>
      </w:r>
      <w:r>
        <w:rPr>
          <w:rFonts w:hint="eastAsia"/>
          <w:snapToGrid w:val="0"/>
        </w:rPr>
        <w:t>DMEM培养液</w:t>
      </w:r>
      <w:r>
        <w:rPr>
          <w:snapToGrid w:val="0"/>
        </w:rPr>
        <w:t>中加入10%胎牛血清，1%抗生素，0.005%的嘌呤霉素盐酸盐。</w:t>
      </w:r>
    </w:p>
    <w:p>
      <w:pPr>
        <w:spacing w:line="300" w:lineRule="auto"/>
        <w:ind w:firstLine="420" w:firstLineChars="200"/>
        <w:rPr>
          <w:snapToGrid w:val="0"/>
        </w:rPr>
      </w:pPr>
      <w:r>
        <w:rPr>
          <w:snapToGrid w:val="0"/>
        </w:rPr>
        <w:t>细胞培养液2：DMEM 培养液中加入10%胎牛血清。</w:t>
      </w:r>
    </w:p>
    <w:p>
      <w:pPr>
        <w:spacing w:line="300" w:lineRule="auto"/>
        <w:ind w:firstLine="420" w:firstLineChars="200"/>
        <w:rPr>
          <w:snapToGrid w:val="0"/>
        </w:rPr>
      </w:pPr>
      <w:r>
        <w:rPr>
          <w:snapToGrid w:val="0"/>
        </w:rPr>
        <w:t>细胞培养液3：DMEM 培养液中加入1%胎牛血清。</w:t>
      </w:r>
    </w:p>
    <w:p>
      <w:pPr>
        <w:spacing w:before="156" w:beforeLines="50" w:after="156" w:afterLines="50" w:line="300" w:lineRule="auto"/>
        <w:rPr>
          <w:szCs w:val="21"/>
        </w:rPr>
      </w:pPr>
      <w:r>
        <w:rPr>
          <w:szCs w:val="21"/>
        </w:rPr>
        <w:t xml:space="preserve">5.3  </w:t>
      </w:r>
      <w:r>
        <w:rPr>
          <w:rFonts w:hint="eastAsia"/>
          <w:szCs w:val="21"/>
        </w:rPr>
        <w:t>噻唑蓝（</w:t>
      </w:r>
      <w:r>
        <w:rPr>
          <w:szCs w:val="21"/>
        </w:rPr>
        <w:t>MTT</w:t>
      </w:r>
      <w:r>
        <w:rPr>
          <w:rFonts w:hint="eastAsia"/>
          <w:szCs w:val="21"/>
        </w:rPr>
        <w:t>）</w:t>
      </w:r>
      <w:r>
        <w:rPr>
          <w:szCs w:val="21"/>
        </w:rPr>
        <w:t>检测液</w:t>
      </w:r>
    </w:p>
    <w:p>
      <w:pPr>
        <w:spacing w:line="300" w:lineRule="auto"/>
        <w:ind w:firstLine="420" w:firstLineChars="200"/>
        <w:rPr>
          <w:snapToGrid w:val="0"/>
        </w:rPr>
      </w:pPr>
      <w:r>
        <w:rPr>
          <w:rFonts w:hint="eastAsia"/>
          <w:snapToGrid w:val="0"/>
        </w:rPr>
        <w:t>称取</w:t>
      </w:r>
      <w:r>
        <w:rPr>
          <w:snapToGrid w:val="0"/>
        </w:rPr>
        <w:t>MTT</w:t>
      </w:r>
      <w:r>
        <w:rPr>
          <w:rFonts w:hint="eastAsia"/>
          <w:snapToGrid w:val="0"/>
        </w:rPr>
        <w:t>适量，加入不含钙镁的磷酸盐缓冲液（</w:t>
      </w:r>
      <w:r>
        <w:rPr>
          <w:snapToGrid w:val="0"/>
        </w:rPr>
        <w:t>Phosphate-Buffered Saline</w:t>
      </w:r>
      <w:r>
        <w:rPr>
          <w:rFonts w:hint="eastAsia"/>
          <w:snapToGrid w:val="0"/>
        </w:rPr>
        <w:t>，</w:t>
      </w:r>
      <w:r>
        <w:rPr>
          <w:snapToGrid w:val="0"/>
        </w:rPr>
        <w:t>PBS</w:t>
      </w:r>
      <w:r>
        <w:rPr>
          <w:rFonts w:hint="eastAsia"/>
          <w:snapToGrid w:val="0"/>
        </w:rPr>
        <w:t>），溶解并稀释至</w:t>
      </w:r>
      <w:r>
        <w:rPr>
          <w:snapToGrid w:val="0"/>
        </w:rPr>
        <w:t>5mg/mL</w:t>
      </w:r>
      <w:r>
        <w:rPr>
          <w:rFonts w:hint="eastAsia"/>
          <w:snapToGrid w:val="0"/>
        </w:rPr>
        <w:t>的溶液，作为储存液。</w:t>
      </w:r>
    </w:p>
    <w:p>
      <w:pPr>
        <w:spacing w:line="300" w:lineRule="auto"/>
        <w:ind w:firstLine="420" w:firstLineChars="200"/>
        <w:rPr>
          <w:snapToGrid w:val="0"/>
        </w:rPr>
      </w:pPr>
      <w:r>
        <w:rPr>
          <w:snapToGrid w:val="0"/>
        </w:rPr>
        <w:t>工作液：取9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mL细胞培养液3加入1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mL MTT储备液，临用现配。</w:t>
      </w:r>
    </w:p>
    <w:p>
      <w:pPr>
        <w:spacing w:before="156" w:beforeLines="50" w:after="156" w:afterLines="50" w:line="300" w:lineRule="auto"/>
        <w:rPr>
          <w:szCs w:val="21"/>
        </w:rPr>
      </w:pPr>
      <w:r>
        <w:rPr>
          <w:szCs w:val="21"/>
        </w:rPr>
        <w:t>5.4  细胞裂解液</w:t>
      </w:r>
    </w:p>
    <w:p>
      <w:pPr>
        <w:spacing w:line="300" w:lineRule="auto"/>
        <w:ind w:firstLine="420" w:firstLineChars="200"/>
        <w:rPr>
          <w:snapToGrid w:val="0"/>
        </w:rPr>
      </w:pPr>
      <w:r>
        <w:rPr>
          <w:rFonts w:hint="eastAsia"/>
          <w:snapToGrid w:val="0"/>
        </w:rPr>
        <w:t>十二烷基硫酸钠（SDS） 10 g</w:t>
      </w:r>
    </w:p>
    <w:p>
      <w:pPr>
        <w:spacing w:line="300" w:lineRule="auto"/>
        <w:ind w:firstLine="420" w:firstLineChars="200"/>
        <w:rPr>
          <w:snapToGrid w:val="0"/>
        </w:rPr>
      </w:pPr>
      <w:r>
        <w:rPr>
          <w:rFonts w:hint="eastAsia"/>
          <w:snapToGrid w:val="0"/>
        </w:rPr>
        <w:t xml:space="preserve">二甲基亚砜（DMSO）   99.6 mL     </w:t>
      </w:r>
    </w:p>
    <w:p>
      <w:pPr>
        <w:spacing w:line="300" w:lineRule="auto"/>
        <w:ind w:firstLine="420" w:firstLineChars="200"/>
        <w:rPr>
          <w:snapToGrid w:val="0"/>
        </w:rPr>
      </w:pPr>
      <w:r>
        <w:rPr>
          <w:rFonts w:hint="eastAsia"/>
          <w:snapToGrid w:val="0"/>
        </w:rPr>
        <w:t>冰醋酸（100%）        0.4 mL</w:t>
      </w:r>
    </w:p>
    <w:p>
      <w:pPr>
        <w:spacing w:before="156" w:beforeLines="50" w:after="156" w:afterLines="50" w:line="300" w:lineRule="auto"/>
        <w:rPr>
          <w:rFonts w:eastAsia="黑体"/>
          <w:szCs w:val="21"/>
        </w:rPr>
      </w:pPr>
      <w:r>
        <w:rPr>
          <w:rFonts w:eastAsia="黑体"/>
          <w:szCs w:val="21"/>
        </w:rPr>
        <w:t>6 试验方法</w:t>
      </w:r>
    </w:p>
    <w:p>
      <w:pPr>
        <w:spacing w:before="156" w:beforeLines="50" w:after="156" w:afterLines="50" w:line="300" w:lineRule="auto"/>
        <w:rPr>
          <w:szCs w:val="21"/>
        </w:rPr>
      </w:pPr>
      <w:r>
        <w:rPr>
          <w:szCs w:val="21"/>
        </w:rPr>
        <w:t>6.1 细胞培养</w:t>
      </w:r>
    </w:p>
    <w:p>
      <w:pPr>
        <w:spacing w:line="300" w:lineRule="auto"/>
        <w:ind w:firstLine="420" w:firstLineChars="200"/>
        <w:rPr>
          <w:snapToGrid w:val="0"/>
        </w:rPr>
      </w:pPr>
      <w:r>
        <w:rPr>
          <w:snapToGrid w:val="0"/>
        </w:rPr>
        <w:t>LuSens细胞使用细胞培养液1，于37℃、5%CO</w:t>
      </w:r>
      <w:r>
        <w:rPr>
          <w:snapToGrid w:val="0"/>
          <w:vertAlign w:val="subscript"/>
        </w:rPr>
        <w:t>2</w:t>
      </w:r>
      <w:r>
        <w:rPr>
          <w:snapToGrid w:val="0"/>
        </w:rPr>
        <w:t>培养箱内培养，倒置显微镜下观察细胞状态。细胞达80</w:t>
      </w:r>
      <w:r>
        <w:rPr>
          <w:rFonts w:hint="eastAsia"/>
          <w:snapToGrid w:val="0"/>
        </w:rPr>
        <w:t>%~</w:t>
      </w:r>
      <w:r>
        <w:rPr>
          <w:snapToGrid w:val="0"/>
        </w:rPr>
        <w:t>90%融合时可用于测试，传代次数不超过</w:t>
      </w:r>
      <w:r>
        <w:rPr>
          <w:rFonts w:hint="eastAsia"/>
          <w:snapToGrid w:val="0"/>
        </w:rPr>
        <w:t>15</w:t>
      </w:r>
      <w:r>
        <w:rPr>
          <w:snapToGrid w:val="0"/>
        </w:rPr>
        <w:t>代。</w:t>
      </w:r>
    </w:p>
    <w:p>
      <w:pPr>
        <w:spacing w:before="156" w:beforeLines="50" w:after="156" w:afterLines="50" w:line="300" w:lineRule="auto"/>
        <w:rPr>
          <w:szCs w:val="21"/>
        </w:rPr>
      </w:pPr>
      <w:r>
        <w:rPr>
          <w:szCs w:val="21"/>
        </w:rPr>
        <w:t>6.2 受试物处理</w:t>
      </w:r>
    </w:p>
    <w:p>
      <w:pPr>
        <w:spacing w:line="300" w:lineRule="auto"/>
        <w:rPr>
          <w:snapToGrid w:val="0"/>
        </w:rPr>
      </w:pPr>
      <w:r>
        <w:rPr>
          <w:snapToGrid w:val="0"/>
        </w:rPr>
        <w:t>6.2.1 溶剂：二甲基亚砜（DMSO）和细胞培养液3。</w:t>
      </w:r>
    </w:p>
    <w:p>
      <w:pPr>
        <w:spacing w:line="300" w:lineRule="auto"/>
        <w:rPr>
          <w:snapToGrid w:val="0"/>
        </w:rPr>
      </w:pPr>
      <w:r>
        <w:rPr>
          <w:snapToGrid w:val="0"/>
        </w:rPr>
        <w:t>6.2.2 细胞毒性预</w:t>
      </w:r>
      <w:r>
        <w:rPr>
          <w:rFonts w:hint="eastAsia"/>
          <w:snapToGrid w:val="0"/>
        </w:rPr>
        <w:t>试</w:t>
      </w:r>
      <w:r>
        <w:rPr>
          <w:snapToGrid w:val="0"/>
        </w:rPr>
        <w:t>验</w:t>
      </w:r>
    </w:p>
    <w:p>
      <w:pPr>
        <w:spacing w:line="300" w:lineRule="auto"/>
        <w:ind w:firstLine="420" w:firstLineChars="200"/>
        <w:rPr>
          <w:snapToGrid w:val="0"/>
        </w:rPr>
      </w:pPr>
      <w:r>
        <w:rPr>
          <w:snapToGrid w:val="0"/>
        </w:rPr>
        <w:t>受试物储备液：采用DMSO为溶剂配制受试物储备液，最大浓度为200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mM，不同剂量间比值为2，</w:t>
      </w:r>
      <w:r>
        <w:rPr>
          <w:rFonts w:hint="eastAsia"/>
          <w:snapToGrid w:val="0"/>
        </w:rPr>
        <w:t>一般</w:t>
      </w:r>
      <w:r>
        <w:rPr>
          <w:snapToGrid w:val="0"/>
        </w:rPr>
        <w:t>设12个浓度。</w:t>
      </w:r>
    </w:p>
    <w:p>
      <w:pPr>
        <w:spacing w:line="300" w:lineRule="auto"/>
        <w:ind w:firstLine="420" w:firstLineChars="200"/>
        <w:rPr>
          <w:snapToGrid w:val="0"/>
        </w:rPr>
      </w:pPr>
      <w:r>
        <w:rPr>
          <w:snapToGrid w:val="0"/>
        </w:rPr>
        <w:t>受试物工作液：采用细胞培养液3将储备液稀释100倍，最终测试浓度分别为0.976、1.953、3.906、7.812、15.625、31.25、62.5、125、250、500、1000、2000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μM。若不能得到CV75值，则重复试验降低最大浓度，直到得到CV75值。若2000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μM浓度时仍未观察到细胞毒性，则正式试验中使用2000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μM为最大浓度。</w:t>
      </w:r>
    </w:p>
    <w:p>
      <w:pPr>
        <w:spacing w:line="300" w:lineRule="auto"/>
        <w:rPr>
          <w:snapToGrid w:val="0"/>
        </w:rPr>
      </w:pPr>
      <w:r>
        <w:rPr>
          <w:snapToGrid w:val="0"/>
        </w:rPr>
        <w:t>6.2.3 正式试验</w:t>
      </w:r>
    </w:p>
    <w:p>
      <w:pPr>
        <w:spacing w:line="300" w:lineRule="auto"/>
        <w:ind w:firstLine="420" w:firstLineChars="200"/>
        <w:rPr>
          <w:snapToGrid w:val="0"/>
        </w:rPr>
      </w:pPr>
      <w:r>
        <w:rPr>
          <w:snapToGrid w:val="0"/>
        </w:rPr>
        <w:t>受试物储备液：根据预</w:t>
      </w:r>
      <w:r>
        <w:rPr>
          <w:rFonts w:hint="eastAsia"/>
          <w:snapToGrid w:val="0"/>
        </w:rPr>
        <w:t>试</w:t>
      </w:r>
      <w:r>
        <w:rPr>
          <w:snapToGrid w:val="0"/>
        </w:rPr>
        <w:t>验结果，用DMSO为溶剂配制受试物储备液，最大浓度为1.2×CV75（或2000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μM），不同剂量间比值为1.2，共设6个浓度。</w:t>
      </w:r>
    </w:p>
    <w:p>
      <w:pPr>
        <w:spacing w:line="300" w:lineRule="auto"/>
        <w:ind w:firstLine="420" w:firstLineChars="200"/>
        <w:rPr>
          <w:snapToGrid w:val="0"/>
        </w:rPr>
      </w:pPr>
      <w:r>
        <w:rPr>
          <w:snapToGrid w:val="0"/>
        </w:rPr>
        <w:t>受试物工作液：采用细胞培养3将储备液稀释100倍，最终测试浓度分别为CV75/2.074、CV75/1.728 、CV75/1.44、CV75/1.2、CV75、CV75×1.2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μM。</w:t>
      </w:r>
    </w:p>
    <w:p>
      <w:pPr>
        <w:spacing w:before="156" w:beforeLines="50" w:after="156" w:afterLines="50" w:line="300" w:lineRule="auto"/>
        <w:rPr>
          <w:szCs w:val="21"/>
        </w:rPr>
      </w:pPr>
      <w:r>
        <w:rPr>
          <w:szCs w:val="21"/>
        </w:rPr>
        <w:t>6.3 阳性对照溶液</w:t>
      </w:r>
      <w:r>
        <w:rPr>
          <w:rFonts w:hint="eastAsia"/>
          <w:szCs w:val="21"/>
        </w:rPr>
        <w:t>配制</w:t>
      </w:r>
    </w:p>
    <w:p>
      <w:pPr>
        <w:spacing w:line="300" w:lineRule="auto"/>
        <w:rPr>
          <w:snapToGrid w:val="0"/>
        </w:rPr>
      </w:pPr>
      <w:r>
        <w:rPr>
          <w:color w:val="000000"/>
          <w:szCs w:val="21"/>
        </w:rPr>
        <w:t xml:space="preserve">  </w:t>
      </w:r>
      <w:r>
        <w:rPr>
          <w:snapToGrid w:val="0"/>
        </w:rPr>
        <w:t xml:space="preserve">  试验前一天，用DMSO配制12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mM阳性对照</w:t>
      </w:r>
      <w:r>
        <w:rPr>
          <w:rFonts w:hint="eastAsia"/>
          <w:snapToGrid w:val="0"/>
        </w:rPr>
        <w:t>物</w:t>
      </w:r>
      <w:r>
        <w:rPr>
          <w:snapToGrid w:val="0"/>
        </w:rPr>
        <w:t>乙二醇二甲基丙烯酸酯（EGDMA）的储存液，试验时用细胞培养液3稀释至检测浓度为120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μM。</w:t>
      </w:r>
    </w:p>
    <w:p>
      <w:pPr>
        <w:spacing w:before="156" w:beforeLines="50" w:after="156" w:afterLines="50" w:line="300" w:lineRule="auto"/>
        <w:rPr>
          <w:szCs w:val="21"/>
        </w:rPr>
      </w:pPr>
      <w:r>
        <w:rPr>
          <w:szCs w:val="21"/>
        </w:rPr>
        <w:t>6.4 阴性对照溶液配制</w:t>
      </w:r>
    </w:p>
    <w:p>
      <w:pPr>
        <w:spacing w:line="300" w:lineRule="auto"/>
        <w:ind w:firstLine="420" w:firstLineChars="200"/>
        <w:rPr>
          <w:snapToGrid w:val="0"/>
        </w:rPr>
      </w:pPr>
      <w:r>
        <w:rPr>
          <w:snapToGrid w:val="0"/>
        </w:rPr>
        <w:t>试验前一天，用DMSO配制500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mM阴性对照物DL-乳酸的储存液，试验时用细胞培养液3稀释至检测浓度为5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mM。</w:t>
      </w:r>
    </w:p>
    <w:p>
      <w:pPr>
        <w:spacing w:before="156" w:beforeLines="50" w:after="156" w:afterLines="50" w:line="300" w:lineRule="auto"/>
        <w:rPr>
          <w:szCs w:val="21"/>
        </w:rPr>
      </w:pPr>
      <w:r>
        <w:rPr>
          <w:szCs w:val="21"/>
        </w:rPr>
        <w:t>6.5 试验步骤</w:t>
      </w:r>
    </w:p>
    <w:p>
      <w:pPr>
        <w:spacing w:line="300" w:lineRule="auto"/>
        <w:rPr>
          <w:snapToGrid w:val="0"/>
        </w:rPr>
      </w:pPr>
      <w:r>
        <w:rPr>
          <w:snapToGrid w:val="0"/>
        </w:rPr>
        <w:t>6.5.1 细胞毒性预</w:t>
      </w:r>
      <w:r>
        <w:rPr>
          <w:rFonts w:hint="eastAsia"/>
          <w:snapToGrid w:val="0"/>
        </w:rPr>
        <w:t>试</w:t>
      </w:r>
      <w:r>
        <w:rPr>
          <w:snapToGrid w:val="0"/>
        </w:rPr>
        <w:t>验</w:t>
      </w:r>
    </w:p>
    <w:p>
      <w:pPr>
        <w:spacing w:line="300" w:lineRule="auto"/>
        <w:rPr>
          <w:snapToGrid w:val="0"/>
        </w:rPr>
      </w:pPr>
      <w:r>
        <w:rPr>
          <w:snapToGrid w:val="0"/>
        </w:rPr>
        <w:t>6.5.1.1 细胞接种</w:t>
      </w:r>
    </w:p>
    <w:p>
      <w:pPr>
        <w:spacing w:line="300" w:lineRule="auto"/>
        <w:ind w:firstLine="420" w:firstLineChars="200"/>
        <w:rPr>
          <w:snapToGrid w:val="0"/>
        </w:rPr>
      </w:pPr>
      <w:r>
        <w:rPr>
          <w:snapToGrid w:val="0"/>
        </w:rPr>
        <w:t>细胞生长至80</w:t>
      </w:r>
      <w:r>
        <w:rPr>
          <w:rFonts w:hint="eastAsia"/>
          <w:snapToGrid w:val="0"/>
        </w:rPr>
        <w:t>%</w:t>
      </w:r>
      <w:r>
        <w:rPr>
          <w:snapToGrid w:val="0"/>
        </w:rPr>
        <w:t>～90%</w:t>
      </w:r>
      <w:r>
        <w:rPr>
          <w:rFonts w:hint="eastAsia"/>
          <w:snapToGrid w:val="0"/>
        </w:rPr>
        <w:t>融合</w:t>
      </w:r>
      <w:r>
        <w:rPr>
          <w:snapToGrid w:val="0"/>
        </w:rPr>
        <w:t>后，弃去培养基，</w:t>
      </w:r>
      <w:r>
        <w:rPr>
          <w:rFonts w:hint="eastAsia"/>
          <w:snapToGrid w:val="0"/>
        </w:rPr>
        <w:t>用适量</w:t>
      </w:r>
      <w:r>
        <w:rPr>
          <w:snapToGrid w:val="0"/>
        </w:rPr>
        <w:t>PBS洗2遍，</w:t>
      </w:r>
      <w:r>
        <w:rPr>
          <w:rFonts w:hint="eastAsia"/>
          <w:snapToGrid w:val="0"/>
        </w:rPr>
        <w:t>胰酶-EDTA消化后加入适量细胞培养液2，收集细胞于离心管中，800～1000转/分钟离心5 min，弃上清液后</w:t>
      </w:r>
      <w:r>
        <w:rPr>
          <w:snapToGrid w:val="0"/>
        </w:rPr>
        <w:t>用细胞培养液2重悬，调整细胞浓度为8.3×10</w:t>
      </w:r>
      <w:r>
        <w:rPr>
          <w:snapToGrid w:val="0"/>
          <w:vertAlign w:val="superscript"/>
        </w:rPr>
        <w:t>4</w:t>
      </w:r>
      <w:r>
        <w:rPr>
          <w:snapToGrid w:val="0"/>
        </w:rPr>
        <w:t>个/mL。96孔板中每孔加入120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μL细胞</w:t>
      </w:r>
      <w:r>
        <w:rPr>
          <w:rFonts w:hint="eastAsia"/>
          <w:snapToGrid w:val="0"/>
        </w:rPr>
        <w:t>悬</w:t>
      </w:r>
      <w:r>
        <w:rPr>
          <w:snapToGrid w:val="0"/>
        </w:rPr>
        <w:t>液，37℃，5% CO</w:t>
      </w:r>
      <w:r>
        <w:rPr>
          <w:snapToGrid w:val="0"/>
          <w:vertAlign w:val="subscript"/>
        </w:rPr>
        <w:t>2</w:t>
      </w:r>
      <w:r>
        <w:rPr>
          <w:snapToGrid w:val="0"/>
        </w:rPr>
        <w:t>继续培养24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h。</w:t>
      </w:r>
    </w:p>
    <w:p>
      <w:pPr>
        <w:spacing w:line="300" w:lineRule="auto"/>
        <w:rPr>
          <w:snapToGrid w:val="0"/>
        </w:rPr>
      </w:pPr>
      <w:r>
        <w:rPr>
          <w:snapToGrid w:val="0"/>
        </w:rPr>
        <w:t>6.5.1.2 受试物染毒</w:t>
      </w:r>
    </w:p>
    <w:p>
      <w:pPr>
        <w:spacing w:line="300" w:lineRule="auto"/>
        <w:ind w:firstLine="420" w:firstLineChars="200"/>
        <w:rPr>
          <w:snapToGrid w:val="0"/>
        </w:rPr>
      </w:pPr>
      <w:r>
        <w:rPr>
          <w:snapToGrid w:val="0"/>
        </w:rPr>
        <w:t>试验设置阳性对照组、阴性对照组、受试物组、溶剂对照组、空白对照组（只加细胞培养液3），每组至少3个重复孔。将细胞培养板从培养箱中取出，去除培养基，每孔预先加入 150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μL细胞培养液3，再依次加入50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μL受试物或对照溶液，37℃</w:t>
      </w:r>
      <w:r>
        <w:rPr>
          <w:rFonts w:hint="eastAsia"/>
          <w:snapToGrid w:val="0"/>
        </w:rPr>
        <w:t>、</w:t>
      </w:r>
      <w:r>
        <w:rPr>
          <w:snapToGrid w:val="0"/>
        </w:rPr>
        <w:t>5% CO</w:t>
      </w:r>
      <w:r>
        <w:rPr>
          <w:snapToGrid w:val="0"/>
          <w:vertAlign w:val="subscript"/>
        </w:rPr>
        <w:t>2</w:t>
      </w:r>
      <w:r>
        <w:rPr>
          <w:snapToGrid w:val="0"/>
        </w:rPr>
        <w:t>继续培养48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h。</w:t>
      </w:r>
    </w:p>
    <w:p>
      <w:pPr>
        <w:spacing w:line="300" w:lineRule="auto"/>
        <w:rPr>
          <w:snapToGrid w:val="0"/>
        </w:rPr>
      </w:pPr>
      <w:r>
        <w:rPr>
          <w:snapToGrid w:val="0"/>
        </w:rPr>
        <w:t>6.5.1.3  MTT孵育</w:t>
      </w:r>
    </w:p>
    <w:p>
      <w:pPr>
        <w:spacing w:line="300" w:lineRule="auto"/>
        <w:ind w:firstLine="420" w:firstLineChars="200"/>
        <w:rPr>
          <w:snapToGrid w:val="0"/>
        </w:rPr>
      </w:pPr>
      <w:r>
        <w:rPr>
          <w:snapToGrid w:val="0"/>
        </w:rPr>
        <w:t>染毒结束后，去除细胞培养液，每孔加入200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μL MTT工作液，37℃、5% CO</w:t>
      </w:r>
      <w:r>
        <w:rPr>
          <w:snapToGrid w:val="0"/>
          <w:vertAlign w:val="subscript"/>
        </w:rPr>
        <w:t>2</w:t>
      </w:r>
      <w:r>
        <w:rPr>
          <w:snapToGrid w:val="0"/>
        </w:rPr>
        <w:t>孵育2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h。</w:t>
      </w:r>
    </w:p>
    <w:p>
      <w:pPr>
        <w:spacing w:line="300" w:lineRule="auto"/>
        <w:rPr>
          <w:snapToGrid w:val="0"/>
        </w:rPr>
      </w:pPr>
      <w:r>
        <w:rPr>
          <w:snapToGrid w:val="0"/>
        </w:rPr>
        <w:t>6.5.1.4  MTT检测</w:t>
      </w:r>
    </w:p>
    <w:p>
      <w:pPr>
        <w:spacing w:line="300" w:lineRule="auto"/>
        <w:ind w:firstLine="420" w:firstLineChars="200"/>
        <w:rPr>
          <w:snapToGrid w:val="0"/>
        </w:rPr>
      </w:pPr>
      <w:r>
        <w:rPr>
          <w:snapToGrid w:val="0"/>
        </w:rPr>
        <w:t>孵育结束后，去除MTT工作液，每孔加入100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μL细胞裂解液，震摇5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min，</w:t>
      </w:r>
      <w:r>
        <w:rPr>
          <w:rFonts w:hint="eastAsia"/>
          <w:snapToGrid w:val="0"/>
        </w:rPr>
        <w:t>采用</w:t>
      </w:r>
      <w:r>
        <w:rPr>
          <w:snapToGrid w:val="0"/>
        </w:rPr>
        <w:t>酶标仪检测</w:t>
      </w:r>
      <w:r>
        <w:rPr>
          <w:rFonts w:hint="eastAsia"/>
          <w:snapToGrid w:val="0"/>
        </w:rPr>
        <w:t>，</w:t>
      </w:r>
      <w:r>
        <w:rPr>
          <w:snapToGrid w:val="0"/>
        </w:rPr>
        <w:t>吸收波长为570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nm，参考波长为690 nm。</w:t>
      </w:r>
    </w:p>
    <w:p>
      <w:pPr>
        <w:spacing w:line="300" w:lineRule="auto"/>
        <w:rPr>
          <w:snapToGrid w:val="0"/>
        </w:rPr>
      </w:pPr>
      <w:r>
        <w:rPr>
          <w:snapToGrid w:val="0"/>
        </w:rPr>
        <w:t>6.5.1.5 细胞存活率（CV75）计算</w:t>
      </w:r>
    </w:p>
    <w:p>
      <w:pPr>
        <w:spacing w:line="300" w:lineRule="auto"/>
        <w:ind w:firstLine="420" w:firstLineChars="200"/>
        <w:rPr>
          <w:snapToGrid w:val="0"/>
        </w:rPr>
      </w:pPr>
      <w:r>
        <w:rPr>
          <w:snapToGrid w:val="0"/>
        </w:rPr>
        <w:t>由得到的吸光度值，计算与溶剂对照相比细胞存活率为75%的受试物浓度。计算方法如下：</w:t>
      </w:r>
    </w:p>
    <w:p>
      <w:pPr>
        <w:spacing w:line="300" w:lineRule="auto"/>
        <w:ind w:firstLine="420" w:firstLineChars="200"/>
        <w:rPr>
          <w:snapToGrid w:val="0"/>
        </w:rPr>
      </w:pPr>
      <w:r>
        <w:rPr>
          <w:snapToGrid w:val="0"/>
        </w:rPr>
        <w:t>选择两个连续浓度，一个细胞存活率大于75%，一个细胞存活率低于75%，则</w:t>
      </w:r>
    </w:p>
    <w:p>
      <w:pPr>
        <w:spacing w:line="300" w:lineRule="auto"/>
        <w:ind w:firstLine="420" w:firstLineChars="200"/>
        <w:jc w:val="center"/>
        <w:rPr>
          <w:snapToGrid w:val="0"/>
        </w:rPr>
      </w:pPr>
      <m:oMath>
        <m:r>
          <m:rPr>
            <m:sty m:val="p"/>
          </m:rPr>
          <w:rPr>
            <w:rFonts w:ascii="Cambria Math" w:hAnsi="Cambria Math"/>
            <w:snapToGrid w:val="0"/>
          </w:rPr>
          <m:t>CV75=</m:t>
        </m:r>
        <m:r>
          <m:rPr>
            <m:sty m:val="p"/>
          </m:rPr>
          <w:rPr>
            <w:rFonts w:hint="eastAsia" w:ascii="Cambria Math" w:hAnsi="Cambria Math"/>
            <w:snapToGrid w:val="0"/>
          </w:rPr>
          <m:t>（</m:t>
        </m:r>
        <m:r>
          <m:rPr>
            <m:sty m:val="p"/>
          </m:rPr>
          <w:rPr>
            <w:rFonts w:ascii="Cambria Math" w:hAnsi="Cambria Math"/>
            <w:snapToGrid w:val="0"/>
          </w:rPr>
          <m:t>Cb−C</m:t>
        </m:r>
        <m:r>
          <m:rPr>
            <m:sty m:val="p"/>
          </m:rPr>
          <w:rPr>
            <w:rFonts w:hint="eastAsia" w:ascii="Cambria Math" w:hAnsi="Cambria Math"/>
            <w:snapToGrid w:val="0"/>
          </w:rPr>
          <m:t>a）</m:t>
        </m:r>
        <m:r>
          <m:rPr>
            <m:sty m:val="p"/>
          </m:rPr>
          <w:rPr>
            <w:rFonts w:ascii="Cambria Math" w:hAnsi="Cambria Math"/>
            <w:snapToGrid w:val="0"/>
          </w:rPr>
          <m:t>×</m:t>
        </m:r>
        <m:f>
          <m:fPr>
            <m:ctrlPr>
              <w:rPr>
                <w:rFonts w:ascii="Cambria Math" w:hAnsi="Cambria Math"/>
                <w:snapToGrid w:val="0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snapToGrid w:val="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napToGrid w:val="0"/>
                  </w:rPr>
                  <m:t>75−Vb</m:t>
                </m:r>
                <m:ctrlPr>
                  <w:rPr>
                    <w:rFonts w:ascii="Cambria Math" w:hAnsi="Cambria Math"/>
                    <w:snapToGrid w:val="0"/>
                  </w:rPr>
                </m:ctrlPr>
              </m:e>
            </m:d>
            <m:ctrlPr>
              <w:rPr>
                <w:rFonts w:ascii="Cambria Math" w:hAnsi="Cambria Math"/>
                <w:snapToGrid w:val="0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napToGrid w:val="0"/>
              </w:rPr>
              <m:t>(Vb−Va)</m:t>
            </m:r>
            <m:ctrlPr>
              <w:rPr>
                <w:rFonts w:ascii="Cambria Math" w:hAnsi="Cambria Math"/>
                <w:snapToGrid w:val="0"/>
              </w:rPr>
            </m:ctrlPr>
          </m:den>
        </m:f>
      </m:oMath>
      <w:r>
        <w:rPr>
          <w:snapToGrid w:val="0"/>
        </w:rPr>
        <w:t xml:space="preserve">+ </w:t>
      </w:r>
      <m:oMath>
        <m:r>
          <m:rPr>
            <m:sty m:val="p"/>
          </m:rPr>
          <w:rPr>
            <w:rFonts w:ascii="Cambria Math" w:hAnsi="Cambria Math"/>
            <w:snapToGrid w:val="0"/>
          </w:rPr>
          <m:t>Cb</m:t>
        </m:r>
      </m:oMath>
      <w:bookmarkStart w:id="2" w:name="OLE_LINK4"/>
    </w:p>
    <w:p>
      <w:pPr>
        <w:spacing w:line="300" w:lineRule="auto"/>
        <w:ind w:firstLine="420" w:firstLineChars="200"/>
        <w:rPr>
          <w:snapToGrid w:val="0"/>
        </w:rPr>
      </w:pPr>
      <w:bookmarkStart w:id="3" w:name="_Hlk160912987"/>
      <w:r>
        <w:rPr>
          <w:snapToGrid w:val="0"/>
        </w:rPr>
        <w:t>Ca（μM）：细胞存活率高于75%的最大受试物测试浓度</w:t>
      </w:r>
    </w:p>
    <w:p>
      <w:pPr>
        <w:spacing w:line="300" w:lineRule="auto"/>
        <w:ind w:firstLine="420" w:firstLineChars="200"/>
        <w:rPr>
          <w:snapToGrid w:val="0"/>
        </w:rPr>
      </w:pPr>
      <w:r>
        <w:rPr>
          <w:snapToGrid w:val="0"/>
        </w:rPr>
        <w:t>Cb（μM）：细胞存活率低于75%的最小受试物测试浓度</w:t>
      </w:r>
    </w:p>
    <w:p>
      <w:pPr>
        <w:spacing w:line="300" w:lineRule="auto"/>
        <w:ind w:firstLine="420" w:firstLineChars="200"/>
        <w:rPr>
          <w:snapToGrid w:val="0"/>
        </w:rPr>
      </w:pPr>
      <w:r>
        <w:rPr>
          <w:snapToGrid w:val="0"/>
        </w:rPr>
        <w:t>Va：Ca对应的细胞存活率</w:t>
      </w:r>
    </w:p>
    <w:p>
      <w:pPr>
        <w:spacing w:line="300" w:lineRule="auto"/>
        <w:ind w:firstLine="420" w:firstLineChars="200"/>
        <w:rPr>
          <w:snapToGrid w:val="0"/>
        </w:rPr>
      </w:pPr>
      <w:r>
        <w:rPr>
          <w:snapToGrid w:val="0"/>
        </w:rPr>
        <w:t>Vb：Cb对应的细胞存活率</w:t>
      </w:r>
      <w:bookmarkEnd w:id="2"/>
      <w:bookmarkEnd w:id="3"/>
    </w:p>
    <w:p>
      <w:pPr>
        <w:spacing w:line="300" w:lineRule="auto"/>
        <w:rPr>
          <w:snapToGrid w:val="0"/>
        </w:rPr>
      </w:pPr>
      <w:r>
        <w:rPr>
          <w:snapToGrid w:val="0"/>
        </w:rPr>
        <w:t>6.5.2 正式试验</w:t>
      </w:r>
    </w:p>
    <w:p>
      <w:pPr>
        <w:spacing w:line="300" w:lineRule="auto"/>
        <w:rPr>
          <w:snapToGrid w:val="0"/>
        </w:rPr>
      </w:pPr>
      <w:r>
        <w:rPr>
          <w:snapToGrid w:val="0"/>
        </w:rPr>
        <w:t>6.5.2.1 细胞接种</w:t>
      </w:r>
    </w:p>
    <w:p>
      <w:pPr>
        <w:spacing w:line="300" w:lineRule="auto"/>
        <w:ind w:firstLine="420" w:firstLineChars="200"/>
        <w:rPr>
          <w:snapToGrid w:val="0"/>
        </w:rPr>
      </w:pPr>
      <w:r>
        <w:rPr>
          <w:snapToGrid w:val="0"/>
        </w:rPr>
        <w:t>细胞生长至80～90%</w:t>
      </w:r>
      <w:r>
        <w:rPr>
          <w:rFonts w:hint="eastAsia"/>
          <w:snapToGrid w:val="0"/>
        </w:rPr>
        <w:t>融合</w:t>
      </w:r>
      <w:r>
        <w:rPr>
          <w:snapToGrid w:val="0"/>
        </w:rPr>
        <w:t>后，弃去培养基，用</w:t>
      </w:r>
      <w:r>
        <w:rPr>
          <w:rFonts w:hint="eastAsia"/>
          <w:snapToGrid w:val="0"/>
        </w:rPr>
        <w:t>适量</w:t>
      </w:r>
      <w:r>
        <w:rPr>
          <w:snapToGrid w:val="0"/>
        </w:rPr>
        <w:t>PBS洗2遍，</w:t>
      </w:r>
      <w:r>
        <w:rPr>
          <w:rFonts w:hint="eastAsia"/>
          <w:snapToGrid w:val="0"/>
        </w:rPr>
        <w:t>胰酶-EDTA消化细胞后加入适量细胞培养液2，收集细胞于离心管中，800～1000转/分钟离心5 min，弃上清液后</w:t>
      </w:r>
      <w:r>
        <w:rPr>
          <w:snapToGrid w:val="0"/>
        </w:rPr>
        <w:t>用细胞培养液2重悬调整细胞浓度为8.3×10</w:t>
      </w:r>
      <w:r>
        <w:rPr>
          <w:snapToGrid w:val="0"/>
          <w:vertAlign w:val="superscript"/>
        </w:rPr>
        <w:t>4</w:t>
      </w:r>
      <w:r>
        <w:rPr>
          <w:snapToGrid w:val="0"/>
        </w:rPr>
        <w:t>个/mL。正式试验中，每个受试物使用一个平底透明的96孔板（用于MTT检测），一个白色不透明的96孔板（用于LuSens检测），96孔板中每孔加入120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μL细胞</w:t>
      </w:r>
      <w:r>
        <w:rPr>
          <w:rFonts w:hint="eastAsia"/>
          <w:snapToGrid w:val="0"/>
        </w:rPr>
        <w:t>悬</w:t>
      </w:r>
      <w:r>
        <w:rPr>
          <w:snapToGrid w:val="0"/>
        </w:rPr>
        <w:t>液，37℃</w:t>
      </w:r>
      <w:r>
        <w:rPr>
          <w:rFonts w:hint="eastAsia"/>
          <w:snapToGrid w:val="0"/>
        </w:rPr>
        <w:t>、</w:t>
      </w:r>
      <w:r>
        <w:rPr>
          <w:snapToGrid w:val="0"/>
        </w:rPr>
        <w:t>5% CO</w:t>
      </w:r>
      <w:r>
        <w:rPr>
          <w:snapToGrid w:val="0"/>
          <w:vertAlign w:val="subscript"/>
        </w:rPr>
        <w:t>2</w:t>
      </w:r>
      <w:r>
        <w:rPr>
          <w:snapToGrid w:val="0"/>
        </w:rPr>
        <w:t>继续培养24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h。</w:t>
      </w:r>
    </w:p>
    <w:p>
      <w:pPr>
        <w:spacing w:line="300" w:lineRule="auto"/>
        <w:rPr>
          <w:snapToGrid w:val="0"/>
        </w:rPr>
      </w:pPr>
      <w:r>
        <w:rPr>
          <w:snapToGrid w:val="0"/>
        </w:rPr>
        <w:t xml:space="preserve">6.5.2.2 受试物染毒 </w:t>
      </w:r>
    </w:p>
    <w:p>
      <w:pPr>
        <w:spacing w:line="300" w:lineRule="auto"/>
        <w:ind w:firstLine="420" w:firstLineChars="200"/>
        <w:rPr>
          <w:snapToGrid w:val="0"/>
        </w:rPr>
      </w:pPr>
      <w:r>
        <w:rPr>
          <w:snapToGrid w:val="0"/>
        </w:rPr>
        <w:t>试验设置阳性对照组、阴性对照组、受试物组、溶剂对照组、空白对照组（只加细胞培养液3），每组至少3个重复孔。将细胞培养板从培养箱中取出，去除培养基，每孔预先加入 150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μL细胞培养液3，再依次加入50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μL受试物或对照溶液，37℃</w:t>
      </w:r>
      <w:r>
        <w:rPr>
          <w:rFonts w:hint="eastAsia"/>
          <w:snapToGrid w:val="0"/>
        </w:rPr>
        <w:t>、</w:t>
      </w:r>
      <w:r>
        <w:rPr>
          <w:snapToGrid w:val="0"/>
        </w:rPr>
        <w:t>5% CO</w:t>
      </w:r>
      <w:r>
        <w:rPr>
          <w:snapToGrid w:val="0"/>
          <w:vertAlign w:val="subscript"/>
        </w:rPr>
        <w:t>2</w:t>
      </w:r>
      <w:r>
        <w:rPr>
          <w:snapToGrid w:val="0"/>
        </w:rPr>
        <w:t>继续培养48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h。</w:t>
      </w:r>
    </w:p>
    <w:p>
      <w:pPr>
        <w:spacing w:line="300" w:lineRule="auto"/>
        <w:rPr>
          <w:snapToGrid w:val="0"/>
        </w:rPr>
      </w:pPr>
      <w:r>
        <w:rPr>
          <w:snapToGrid w:val="0"/>
        </w:rPr>
        <w:t>6.5.2.3 MTT孵育</w:t>
      </w:r>
    </w:p>
    <w:p>
      <w:pPr>
        <w:spacing w:line="300" w:lineRule="auto"/>
        <w:ind w:firstLine="420" w:firstLineChars="200"/>
        <w:rPr>
          <w:snapToGrid w:val="0"/>
        </w:rPr>
      </w:pPr>
      <w:r>
        <w:rPr>
          <w:snapToGrid w:val="0"/>
        </w:rPr>
        <w:t>染毒结束后，透明96孔板中去除培养基，每孔加入200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μL MTT工作液，37℃、5% CO</w:t>
      </w:r>
      <w:r>
        <w:rPr>
          <w:snapToGrid w:val="0"/>
          <w:vertAlign w:val="subscript"/>
        </w:rPr>
        <w:t>2</w:t>
      </w:r>
      <w:r>
        <w:rPr>
          <w:snapToGrid w:val="0"/>
        </w:rPr>
        <w:t>孵育2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h。</w:t>
      </w:r>
    </w:p>
    <w:p>
      <w:pPr>
        <w:spacing w:line="300" w:lineRule="auto"/>
        <w:rPr>
          <w:snapToGrid w:val="0"/>
        </w:rPr>
      </w:pPr>
      <w:r>
        <w:rPr>
          <w:snapToGrid w:val="0"/>
        </w:rPr>
        <w:t>6.5.2.4 MTT检测</w:t>
      </w:r>
    </w:p>
    <w:p>
      <w:pPr>
        <w:spacing w:line="300" w:lineRule="auto"/>
        <w:ind w:firstLine="420" w:firstLineChars="200"/>
        <w:rPr>
          <w:snapToGrid w:val="0"/>
        </w:rPr>
      </w:pPr>
      <w:r>
        <w:rPr>
          <w:snapToGrid w:val="0"/>
        </w:rPr>
        <w:t>孵育结束后，去除培养液，每孔加入100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μL 细胞裂解液，震摇5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min，酶标仪检测，吸收波长为570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nm，参考波长为690 nm。</w:t>
      </w:r>
    </w:p>
    <w:p>
      <w:pPr>
        <w:spacing w:line="300" w:lineRule="auto"/>
        <w:rPr>
          <w:snapToGrid w:val="0"/>
        </w:rPr>
      </w:pPr>
      <w:r>
        <w:rPr>
          <w:snapToGrid w:val="0"/>
        </w:rPr>
        <w:t>6.5.2.5 荧光素酶表达检测</w:t>
      </w:r>
    </w:p>
    <w:p>
      <w:pPr>
        <w:spacing w:line="300" w:lineRule="auto"/>
        <w:ind w:firstLine="420" w:firstLineChars="200"/>
        <w:rPr>
          <w:snapToGrid w:val="0"/>
        </w:rPr>
      </w:pPr>
      <w:r>
        <w:rPr>
          <w:snapToGrid w:val="0"/>
        </w:rPr>
        <w:t>染毒48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h后，白色96孔板中去除培养基，每孔加入300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μL PBS</w:t>
      </w:r>
      <w:r>
        <w:rPr>
          <w:rFonts w:hint="eastAsia"/>
          <w:snapToGrid w:val="0"/>
        </w:rPr>
        <w:t>（</w:t>
      </w:r>
      <w:r>
        <w:rPr>
          <w:snapToGrid w:val="0"/>
        </w:rPr>
        <w:t>含钙镁</w:t>
      </w:r>
      <w:r>
        <w:rPr>
          <w:rFonts w:hint="eastAsia"/>
          <w:snapToGrid w:val="0"/>
        </w:rPr>
        <w:t>）</w:t>
      </w:r>
      <w:r>
        <w:rPr>
          <w:snapToGrid w:val="0"/>
        </w:rPr>
        <w:t>洗涤2遍后，</w:t>
      </w:r>
      <w:r>
        <w:rPr>
          <w:rFonts w:hint="eastAsia"/>
          <w:snapToGrid w:val="0"/>
        </w:rPr>
        <w:t>按照荧光素酶报告基因检验检测试剂盒要求检测荧光素酶表达</w:t>
      </w:r>
      <w:r>
        <w:rPr>
          <w:snapToGrid w:val="0"/>
        </w:rPr>
        <w:t>。</w:t>
      </w:r>
    </w:p>
    <w:p>
      <w:pPr>
        <w:spacing w:line="300" w:lineRule="auto"/>
        <w:rPr>
          <w:snapToGrid w:val="0"/>
        </w:rPr>
      </w:pPr>
      <w:r>
        <w:rPr>
          <w:snapToGrid w:val="0"/>
        </w:rPr>
        <w:t>6.5.2.6 结果计算</w:t>
      </w:r>
    </w:p>
    <w:p>
      <w:pPr>
        <w:spacing w:line="300" w:lineRule="auto"/>
        <w:ind w:firstLine="420" w:firstLineChars="200"/>
        <w:rPr>
          <w:snapToGrid w:val="0"/>
        </w:rPr>
      </w:pPr>
      <m:oMathPara>
        <m:oMath>
          <m:r>
            <m:rPr>
              <m:sty m:val="p"/>
            </m:rPr>
            <w:rPr>
              <w:rFonts w:ascii="Cambria Math" w:hAnsi="Cambria Math"/>
              <w:snapToGrid w:val="0"/>
            </w:rPr>
            <m:t>诱导倍数=</m:t>
          </m:r>
          <m:f>
            <m:fPr>
              <m:ctrlPr>
                <w:rPr>
                  <w:rFonts w:ascii="Cambria Math" w:hAnsi="Cambria Math"/>
                  <w:snapToGrid w:val="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napToGrid w:val="0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napToGrid w:val="0"/>
                    </w:rPr>
                    <m:t>L</m:t>
                  </m:r>
                  <m:ctrlPr>
                    <w:rPr>
                      <w:rFonts w:ascii="Cambria Math" w:hAnsi="Cambria Math"/>
                      <w:snapToGrid w:val="0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snapToGrid w:val="0"/>
                    </w:rPr>
                    <m:t>sample</m:t>
                  </m:r>
                  <m:ctrlPr>
                    <w:rPr>
                      <w:rFonts w:ascii="Cambria Math" w:hAnsi="Cambria Math"/>
                      <w:snapToGrid w:val="0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napToGrid w:val="0"/>
                </w:rPr>
                <m:t>−</m:t>
              </m:r>
              <m:sSub>
                <m:sSubPr>
                  <m:ctrlPr>
                    <w:rPr>
                      <w:rFonts w:ascii="Cambria Math" w:hAnsi="Cambria Math"/>
                      <w:snapToGrid w:val="0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napToGrid w:val="0"/>
                    </w:rPr>
                    <m:t>L</m:t>
                  </m:r>
                  <m:ctrlPr>
                    <w:rPr>
                      <w:rFonts w:ascii="Cambria Math" w:hAnsi="Cambria Math"/>
                      <w:snapToGrid w:val="0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snapToGrid w:val="0"/>
                    </w:rPr>
                    <m:t>blank</m:t>
                  </m:r>
                  <m:ctrlPr>
                    <w:rPr>
                      <w:rFonts w:ascii="Cambria Math" w:hAnsi="Cambria Math"/>
                      <w:snapToGrid w:val="0"/>
                    </w:rPr>
                  </m:ctrlPr>
                </m:sub>
              </m:sSub>
              <m:ctrlPr>
                <w:rPr>
                  <w:rFonts w:ascii="Cambria Math" w:hAnsi="Cambria Math"/>
                  <w:snapToGrid w:val="0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/>
                      <w:snapToGrid w:val="0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napToGrid w:val="0"/>
                    </w:rPr>
                    <m:t>L</m:t>
                  </m:r>
                  <m:ctrlPr>
                    <w:rPr>
                      <w:rFonts w:ascii="Cambria Math" w:hAnsi="Cambria Math"/>
                      <w:snapToGrid w:val="0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snapToGrid w:val="0"/>
                    </w:rPr>
                    <m:t>solvent</m:t>
                  </m:r>
                  <m:ctrlPr>
                    <w:rPr>
                      <w:rFonts w:ascii="Cambria Math" w:hAnsi="Cambria Math"/>
                      <w:snapToGrid w:val="0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napToGrid w:val="0"/>
                </w:rPr>
                <m:t>−</m:t>
              </m:r>
              <m:sSub>
                <m:sSubPr>
                  <m:ctrlPr>
                    <w:rPr>
                      <w:rFonts w:ascii="Cambria Math" w:hAnsi="Cambria Math"/>
                      <w:snapToGrid w:val="0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napToGrid w:val="0"/>
                    </w:rPr>
                    <m:t>L</m:t>
                  </m:r>
                  <m:ctrlPr>
                    <w:rPr>
                      <w:rFonts w:ascii="Cambria Math" w:hAnsi="Cambria Math"/>
                      <w:snapToGrid w:val="0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snapToGrid w:val="0"/>
                    </w:rPr>
                    <m:t>blank</m:t>
                  </m:r>
                  <m:ctrlPr>
                    <w:rPr>
                      <w:rFonts w:ascii="Cambria Math" w:hAnsi="Cambria Math"/>
                      <w:snapToGrid w:val="0"/>
                    </w:rPr>
                  </m:ctrlPr>
                </m:sub>
              </m:sSub>
              <m:ctrlPr>
                <w:rPr>
                  <w:rFonts w:ascii="Cambria Math" w:hAnsi="Cambria Math"/>
                  <w:snapToGrid w:val="0"/>
                </w:rPr>
              </m:ctrlPr>
            </m:den>
          </m:f>
        </m:oMath>
      </m:oMathPara>
    </w:p>
    <w:p>
      <w:pPr>
        <w:spacing w:line="300" w:lineRule="auto"/>
        <w:ind w:firstLine="420" w:firstLineChars="200"/>
        <w:rPr>
          <w:snapToGrid w:val="0"/>
        </w:rPr>
      </w:pPr>
      <w:r>
        <w:rPr>
          <w:snapToGrid w:val="0"/>
        </w:rPr>
        <w:t>L</w:t>
      </w:r>
      <w:bookmarkStart w:id="4" w:name="_Hlk160912232"/>
      <w:r>
        <w:rPr>
          <w:snapToGrid w:val="0"/>
          <w:vertAlign w:val="subscript"/>
        </w:rPr>
        <w:t>sample</w:t>
      </w:r>
      <w:bookmarkEnd w:id="4"/>
      <w:r>
        <w:rPr>
          <w:snapToGrid w:val="0"/>
        </w:rPr>
        <w:t>：受试孔的荧光读数</w:t>
      </w:r>
    </w:p>
    <w:p>
      <w:pPr>
        <w:spacing w:line="300" w:lineRule="auto"/>
        <w:ind w:firstLine="420" w:firstLineChars="200"/>
        <w:rPr>
          <w:snapToGrid w:val="0"/>
        </w:rPr>
      </w:pPr>
      <w:r>
        <w:rPr>
          <w:snapToGrid w:val="0"/>
        </w:rPr>
        <w:t>L</w:t>
      </w:r>
      <w:r>
        <w:rPr>
          <w:snapToGrid w:val="0"/>
          <w:vertAlign w:val="subscript"/>
        </w:rPr>
        <w:t>blank</w:t>
      </w:r>
      <w:r>
        <w:rPr>
          <w:snapToGrid w:val="0"/>
        </w:rPr>
        <w:t>：不包含细胞和</w:t>
      </w:r>
      <w:r>
        <w:rPr>
          <w:rFonts w:hint="eastAsia"/>
          <w:snapToGrid w:val="0"/>
        </w:rPr>
        <w:t>给予受试物</w:t>
      </w:r>
      <w:r>
        <w:rPr>
          <w:snapToGrid w:val="0"/>
        </w:rPr>
        <w:t>的空白孔的荧光读数</w:t>
      </w:r>
    </w:p>
    <w:p>
      <w:pPr>
        <w:spacing w:line="300" w:lineRule="auto"/>
        <w:ind w:firstLine="420" w:firstLineChars="200"/>
        <w:rPr>
          <w:snapToGrid w:val="0"/>
        </w:rPr>
      </w:pPr>
      <w:r>
        <w:rPr>
          <w:snapToGrid w:val="0"/>
        </w:rPr>
        <w:t>L</w:t>
      </w:r>
      <w:r>
        <w:rPr>
          <w:snapToGrid w:val="0"/>
          <w:vertAlign w:val="subscript"/>
        </w:rPr>
        <w:t>solvent</w:t>
      </w:r>
      <w:r>
        <w:rPr>
          <w:snapToGrid w:val="0"/>
        </w:rPr>
        <w:t>：包含细胞和溶剂对照孔的荧光读数</w:t>
      </w:r>
    </w:p>
    <w:p>
      <w:pPr>
        <w:spacing w:before="156" w:beforeLines="50" w:after="156" w:afterLines="50" w:line="300" w:lineRule="auto"/>
        <w:rPr>
          <w:rFonts w:eastAsia="黑体"/>
          <w:szCs w:val="21"/>
        </w:rPr>
      </w:pPr>
      <w:r>
        <w:rPr>
          <w:rFonts w:eastAsia="黑体"/>
          <w:szCs w:val="21"/>
        </w:rPr>
        <w:t>7 结果评价</w:t>
      </w:r>
    </w:p>
    <w:p>
      <w:pPr>
        <w:spacing w:before="156" w:beforeLines="50" w:after="156" w:afterLines="50" w:line="300" w:lineRule="auto"/>
        <w:rPr>
          <w:szCs w:val="21"/>
        </w:rPr>
      </w:pPr>
      <w:r>
        <w:rPr>
          <w:szCs w:val="21"/>
        </w:rPr>
        <w:t>7.1 试验成立的条件</w:t>
      </w:r>
    </w:p>
    <w:p>
      <w:pPr>
        <w:spacing w:line="300" w:lineRule="auto"/>
        <w:ind w:firstLine="420" w:firstLineChars="200"/>
        <w:rPr>
          <w:snapToGrid w:val="0"/>
        </w:rPr>
      </w:pPr>
      <w:r>
        <w:rPr>
          <w:snapToGrid w:val="0"/>
        </w:rPr>
        <w:t>与溶剂对照相比，阳性对照组</w:t>
      </w:r>
      <w:r>
        <w:rPr>
          <w:rFonts w:hint="eastAsia"/>
          <w:snapToGrid w:val="0"/>
        </w:rPr>
        <w:t>诱导</w:t>
      </w:r>
      <w:r>
        <w:rPr>
          <w:snapToGrid w:val="0"/>
        </w:rPr>
        <w:t>倍数（</w:t>
      </w:r>
      <w:r>
        <w:rPr>
          <w:rFonts w:hint="eastAsia"/>
          <w:snapToGrid w:val="0"/>
        </w:rPr>
        <w:t>F</w:t>
      </w:r>
      <w:r>
        <w:rPr>
          <w:snapToGrid w:val="0"/>
        </w:rPr>
        <w:t xml:space="preserve">old </w:t>
      </w:r>
      <w:r>
        <w:rPr>
          <w:rFonts w:hint="eastAsia"/>
          <w:snapToGrid w:val="0"/>
        </w:rPr>
        <w:t>I</w:t>
      </w:r>
      <w:r>
        <w:rPr>
          <w:snapToGrid w:val="0"/>
        </w:rPr>
        <w:t>nduction）</w:t>
      </w:r>
      <w:r>
        <w:rPr>
          <w:rFonts w:hint="eastAsia" w:asciiTheme="minorEastAsia" w:hAnsiTheme="minorEastAsia" w:eastAsiaTheme="minorEastAsia" w:cstheme="minorEastAsia"/>
          <w:snapToGrid w:val="0"/>
        </w:rPr>
        <w:t>≥</w:t>
      </w:r>
      <w:r>
        <w:rPr>
          <w:snapToGrid w:val="0"/>
        </w:rPr>
        <w:t>2.5，有统计学差异，且细胞存活率</w:t>
      </w:r>
      <w:r>
        <w:rPr>
          <w:rFonts w:hint="eastAsia" w:asciiTheme="minorEastAsia" w:hAnsiTheme="minorEastAsia" w:eastAsiaTheme="minorEastAsia" w:cstheme="minorEastAsia"/>
          <w:snapToGrid w:val="0"/>
        </w:rPr>
        <w:t>≥</w:t>
      </w:r>
      <w:r>
        <w:rPr>
          <w:snapToGrid w:val="0"/>
        </w:rPr>
        <w:t>70%。</w:t>
      </w:r>
    </w:p>
    <w:p>
      <w:pPr>
        <w:spacing w:line="300" w:lineRule="auto"/>
        <w:ind w:firstLine="420" w:firstLineChars="200"/>
        <w:rPr>
          <w:snapToGrid w:val="0"/>
        </w:rPr>
      </w:pPr>
      <w:r>
        <w:rPr>
          <w:snapToGrid w:val="0"/>
        </w:rPr>
        <w:t>与溶剂对照相比，阴性对照组</w:t>
      </w:r>
      <w:r>
        <w:rPr>
          <w:rFonts w:hint="eastAsia"/>
          <w:snapToGrid w:val="0"/>
        </w:rPr>
        <w:t>诱导</w:t>
      </w:r>
      <w:r>
        <w:rPr>
          <w:snapToGrid w:val="0"/>
        </w:rPr>
        <w:t>倍数（</w:t>
      </w:r>
      <w:r>
        <w:rPr>
          <w:rFonts w:hint="eastAsia"/>
          <w:snapToGrid w:val="0"/>
        </w:rPr>
        <w:t>F</w:t>
      </w:r>
      <w:r>
        <w:rPr>
          <w:snapToGrid w:val="0"/>
        </w:rPr>
        <w:t xml:space="preserve">old </w:t>
      </w:r>
      <w:r>
        <w:rPr>
          <w:rFonts w:hint="eastAsia"/>
          <w:snapToGrid w:val="0"/>
        </w:rPr>
        <w:t>I</w:t>
      </w:r>
      <w:r>
        <w:rPr>
          <w:snapToGrid w:val="0"/>
        </w:rPr>
        <w:t>nduction）＜1.5。</w:t>
      </w:r>
    </w:p>
    <w:p>
      <w:pPr>
        <w:spacing w:line="300" w:lineRule="auto"/>
        <w:ind w:firstLine="420" w:firstLineChars="200"/>
        <w:rPr>
          <w:snapToGrid w:val="0"/>
        </w:rPr>
      </w:pPr>
      <w:r>
        <w:rPr>
          <w:snapToGrid w:val="0"/>
        </w:rPr>
        <w:t>所有溶剂对照组细胞存活率SD值＜20%。</w:t>
      </w:r>
    </w:p>
    <w:p>
      <w:pPr>
        <w:spacing w:line="300" w:lineRule="auto"/>
        <w:ind w:firstLine="420" w:firstLineChars="200"/>
        <w:rPr>
          <w:snapToGrid w:val="0"/>
        </w:rPr>
      </w:pPr>
      <w:r>
        <w:rPr>
          <w:snapToGrid w:val="0"/>
        </w:rPr>
        <w:t>正式试验中，受试物至少有3个测试浓度细胞存活率＞70%。</w:t>
      </w:r>
    </w:p>
    <w:p>
      <w:pPr>
        <w:spacing w:before="156" w:beforeLines="50" w:after="156" w:afterLines="50" w:line="300" w:lineRule="auto"/>
        <w:rPr>
          <w:szCs w:val="21"/>
        </w:rPr>
      </w:pPr>
      <w:r>
        <w:rPr>
          <w:szCs w:val="21"/>
        </w:rPr>
        <w:t>7.2 结果判定</w:t>
      </w:r>
    </w:p>
    <w:p>
      <w:pPr>
        <w:spacing w:line="300" w:lineRule="auto"/>
        <w:ind w:firstLine="420" w:firstLineChars="200"/>
        <w:rPr>
          <w:snapToGrid w:val="0"/>
        </w:rPr>
      </w:pPr>
      <w:r>
        <w:rPr>
          <w:snapToGrid w:val="0"/>
        </w:rPr>
        <w:t>与溶剂对照组相比，当受试物至少有一个测试浓度细胞毒性＜70%（或者最大无细胞毒性测试浓度达到2000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μM），且平均</w:t>
      </w:r>
      <w:r>
        <w:rPr>
          <w:rFonts w:hint="eastAsia"/>
          <w:snapToGrid w:val="0"/>
        </w:rPr>
        <w:t>诱导</w:t>
      </w:r>
      <w:r>
        <w:rPr>
          <w:snapToGrid w:val="0"/>
        </w:rPr>
        <w:t>倍数＜1.5，则判定结果阴性。</w:t>
      </w:r>
    </w:p>
    <w:p>
      <w:pPr>
        <w:spacing w:line="300" w:lineRule="auto"/>
        <w:ind w:firstLine="420" w:firstLineChars="200"/>
        <w:rPr>
          <w:snapToGrid w:val="0"/>
        </w:rPr>
      </w:pPr>
      <w:r>
        <w:rPr>
          <w:snapToGrid w:val="0"/>
        </w:rPr>
        <w:t>与溶剂对照组相比，当受试物至少三个测试浓度无细胞毒性时，且其中两个连续无毒性浓度</w:t>
      </w:r>
      <w:r>
        <w:rPr>
          <w:rFonts w:hint="eastAsia"/>
          <w:snapToGrid w:val="0"/>
        </w:rPr>
        <w:t>诱导</w:t>
      </w:r>
      <w:r>
        <w:rPr>
          <w:snapToGrid w:val="0"/>
        </w:rPr>
        <w:t>倍数</w:t>
      </w:r>
      <w:r>
        <w:rPr>
          <w:rFonts w:hint="eastAsia" w:asciiTheme="minorEastAsia" w:hAnsiTheme="minorEastAsia" w:eastAsiaTheme="minorEastAsia" w:cstheme="minorEastAsia"/>
          <w:snapToGrid w:val="0"/>
        </w:rPr>
        <w:t>≥</w:t>
      </w:r>
      <w:r>
        <w:rPr>
          <w:snapToGrid w:val="0"/>
        </w:rPr>
        <w:t>1.5，有统计学差异，则判定结果阳性。</w:t>
      </w:r>
    </w:p>
    <w:p>
      <w:pPr>
        <w:spacing w:line="300" w:lineRule="auto"/>
        <w:ind w:firstLine="420" w:firstLineChars="200"/>
        <w:rPr>
          <w:snapToGrid w:val="0"/>
        </w:rPr>
      </w:pPr>
      <w:r>
        <w:rPr>
          <w:snapToGrid w:val="0"/>
        </w:rPr>
        <w:t>要进行致敏性判断，需进行满足7.1条件的重复试验，当两次重复试验结果一致时，不需要进行第三次试验；若不一致，则进行第三次试验。当两次试验结果均为阴性/阳性，才可最终判定受试物致敏性阴性/阳性。</w:t>
      </w:r>
    </w:p>
    <w:p>
      <w:pPr>
        <w:widowControl/>
        <w:jc w:val="left"/>
        <w:rPr>
          <w:snapToGrid w:val="0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3 of 9 Barcode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3 of 9 Barcode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 Math">
    <w:altName w:val="DejaVu Math TeX Gyr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Noto Sans CJK JP Black">
    <w:panose1 w:val="020B0A00000000000000"/>
    <w:charset w:val="86"/>
    <w:family w:val="auto"/>
    <w:pitch w:val="default"/>
    <w:sig w:usb0="30000003" w:usb1="2BDF3C10" w:usb2="00000016" w:usb3="00000000" w:csb0="602E0107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ZGY5Mzc2NWU5YzczMmNlMTljZTZiMTNmNWYzNTUifQ=="/>
  </w:docVars>
  <w:rsids>
    <w:rsidRoot w:val="7BD425D4"/>
    <w:rsid w:val="00012AFA"/>
    <w:rsid w:val="00013AD3"/>
    <w:rsid w:val="00022312"/>
    <w:rsid w:val="000345E9"/>
    <w:rsid w:val="00034BF6"/>
    <w:rsid w:val="000415A4"/>
    <w:rsid w:val="000520F2"/>
    <w:rsid w:val="00054BB3"/>
    <w:rsid w:val="00066019"/>
    <w:rsid w:val="00072B6E"/>
    <w:rsid w:val="000A26EA"/>
    <w:rsid w:val="000A4502"/>
    <w:rsid w:val="000A757A"/>
    <w:rsid w:val="000B6785"/>
    <w:rsid w:val="000B7E66"/>
    <w:rsid w:val="000E397E"/>
    <w:rsid w:val="000E6A72"/>
    <w:rsid w:val="000E7AA2"/>
    <w:rsid w:val="000F2139"/>
    <w:rsid w:val="000F216C"/>
    <w:rsid w:val="001060A6"/>
    <w:rsid w:val="00113794"/>
    <w:rsid w:val="0012695F"/>
    <w:rsid w:val="00132269"/>
    <w:rsid w:val="00145AA0"/>
    <w:rsid w:val="0015191A"/>
    <w:rsid w:val="0016646F"/>
    <w:rsid w:val="00166658"/>
    <w:rsid w:val="0019349D"/>
    <w:rsid w:val="001B1FFB"/>
    <w:rsid w:val="001C5D23"/>
    <w:rsid w:val="001D1B52"/>
    <w:rsid w:val="001D41EC"/>
    <w:rsid w:val="001D4D3C"/>
    <w:rsid w:val="001F275F"/>
    <w:rsid w:val="002159BD"/>
    <w:rsid w:val="0022265C"/>
    <w:rsid w:val="00222AE6"/>
    <w:rsid w:val="00237582"/>
    <w:rsid w:val="00240E1D"/>
    <w:rsid w:val="0024187E"/>
    <w:rsid w:val="0025067D"/>
    <w:rsid w:val="002515C5"/>
    <w:rsid w:val="0025253B"/>
    <w:rsid w:val="0026557A"/>
    <w:rsid w:val="00272B2D"/>
    <w:rsid w:val="002828D3"/>
    <w:rsid w:val="0029049E"/>
    <w:rsid w:val="002C0917"/>
    <w:rsid w:val="002F6648"/>
    <w:rsid w:val="00301756"/>
    <w:rsid w:val="00311BE5"/>
    <w:rsid w:val="003141A5"/>
    <w:rsid w:val="00327160"/>
    <w:rsid w:val="003364C0"/>
    <w:rsid w:val="00346093"/>
    <w:rsid w:val="0034610D"/>
    <w:rsid w:val="003479AE"/>
    <w:rsid w:val="003525A3"/>
    <w:rsid w:val="00362225"/>
    <w:rsid w:val="00363458"/>
    <w:rsid w:val="00363F6D"/>
    <w:rsid w:val="00364FD9"/>
    <w:rsid w:val="003742D4"/>
    <w:rsid w:val="003824E4"/>
    <w:rsid w:val="0039572E"/>
    <w:rsid w:val="003A0714"/>
    <w:rsid w:val="003A59E0"/>
    <w:rsid w:val="003A6EE4"/>
    <w:rsid w:val="003B6CDC"/>
    <w:rsid w:val="003D17DA"/>
    <w:rsid w:val="003E3CFF"/>
    <w:rsid w:val="00403BC3"/>
    <w:rsid w:val="00424A58"/>
    <w:rsid w:val="0043398D"/>
    <w:rsid w:val="00440FE4"/>
    <w:rsid w:val="004451EF"/>
    <w:rsid w:val="00453B52"/>
    <w:rsid w:val="00456A76"/>
    <w:rsid w:val="0045774E"/>
    <w:rsid w:val="00466836"/>
    <w:rsid w:val="00476782"/>
    <w:rsid w:val="004841E7"/>
    <w:rsid w:val="004A0890"/>
    <w:rsid w:val="004A316D"/>
    <w:rsid w:val="004A3EB1"/>
    <w:rsid w:val="004A5615"/>
    <w:rsid w:val="004C3E5D"/>
    <w:rsid w:val="004D5321"/>
    <w:rsid w:val="004E0BA1"/>
    <w:rsid w:val="004F126B"/>
    <w:rsid w:val="004F78EB"/>
    <w:rsid w:val="00525BF7"/>
    <w:rsid w:val="0053067A"/>
    <w:rsid w:val="00530C32"/>
    <w:rsid w:val="00544DCA"/>
    <w:rsid w:val="00550882"/>
    <w:rsid w:val="00552611"/>
    <w:rsid w:val="005534CF"/>
    <w:rsid w:val="00563FBC"/>
    <w:rsid w:val="0059695A"/>
    <w:rsid w:val="005A27E0"/>
    <w:rsid w:val="005A6586"/>
    <w:rsid w:val="005D1203"/>
    <w:rsid w:val="005F1E90"/>
    <w:rsid w:val="0060334B"/>
    <w:rsid w:val="00625CE5"/>
    <w:rsid w:val="006473C4"/>
    <w:rsid w:val="00650FE2"/>
    <w:rsid w:val="00653CE9"/>
    <w:rsid w:val="0066630D"/>
    <w:rsid w:val="0067095D"/>
    <w:rsid w:val="0067228F"/>
    <w:rsid w:val="006722F5"/>
    <w:rsid w:val="006728FE"/>
    <w:rsid w:val="006809C4"/>
    <w:rsid w:val="00696E42"/>
    <w:rsid w:val="006A2856"/>
    <w:rsid w:val="006C1EE0"/>
    <w:rsid w:val="006D2408"/>
    <w:rsid w:val="006E2CED"/>
    <w:rsid w:val="006F1AF7"/>
    <w:rsid w:val="006F2D6B"/>
    <w:rsid w:val="006F7812"/>
    <w:rsid w:val="0070053A"/>
    <w:rsid w:val="0071673E"/>
    <w:rsid w:val="00721C87"/>
    <w:rsid w:val="00722F2E"/>
    <w:rsid w:val="0074602B"/>
    <w:rsid w:val="00746361"/>
    <w:rsid w:val="00752F27"/>
    <w:rsid w:val="0077169A"/>
    <w:rsid w:val="007A68D6"/>
    <w:rsid w:val="007B193A"/>
    <w:rsid w:val="007B549D"/>
    <w:rsid w:val="007C5102"/>
    <w:rsid w:val="007D6FE0"/>
    <w:rsid w:val="007D716A"/>
    <w:rsid w:val="007F7467"/>
    <w:rsid w:val="00800E84"/>
    <w:rsid w:val="0080141F"/>
    <w:rsid w:val="00801E4C"/>
    <w:rsid w:val="00823912"/>
    <w:rsid w:val="00840515"/>
    <w:rsid w:val="008418DE"/>
    <w:rsid w:val="00872A16"/>
    <w:rsid w:val="00873D4C"/>
    <w:rsid w:val="00894E7A"/>
    <w:rsid w:val="008B3E32"/>
    <w:rsid w:val="008B5828"/>
    <w:rsid w:val="008B7341"/>
    <w:rsid w:val="008D03B9"/>
    <w:rsid w:val="008D0BA8"/>
    <w:rsid w:val="008D75AD"/>
    <w:rsid w:val="008E0E0F"/>
    <w:rsid w:val="008E61CF"/>
    <w:rsid w:val="008F00E0"/>
    <w:rsid w:val="008F1C81"/>
    <w:rsid w:val="00904ABE"/>
    <w:rsid w:val="00910868"/>
    <w:rsid w:val="009119EB"/>
    <w:rsid w:val="00912DE9"/>
    <w:rsid w:val="0092697A"/>
    <w:rsid w:val="00932BFE"/>
    <w:rsid w:val="00933231"/>
    <w:rsid w:val="00936865"/>
    <w:rsid w:val="009374D6"/>
    <w:rsid w:val="009522C1"/>
    <w:rsid w:val="00974DBC"/>
    <w:rsid w:val="009759FE"/>
    <w:rsid w:val="00986AB6"/>
    <w:rsid w:val="009906E4"/>
    <w:rsid w:val="00996068"/>
    <w:rsid w:val="00997F1F"/>
    <w:rsid w:val="009A7F5F"/>
    <w:rsid w:val="009B2DB5"/>
    <w:rsid w:val="009B5915"/>
    <w:rsid w:val="009D5551"/>
    <w:rsid w:val="009D66B9"/>
    <w:rsid w:val="009F156D"/>
    <w:rsid w:val="00A16A9B"/>
    <w:rsid w:val="00A276E0"/>
    <w:rsid w:val="00A62812"/>
    <w:rsid w:val="00A629EF"/>
    <w:rsid w:val="00A71024"/>
    <w:rsid w:val="00A71FDE"/>
    <w:rsid w:val="00AB4990"/>
    <w:rsid w:val="00AC3B23"/>
    <w:rsid w:val="00AC5203"/>
    <w:rsid w:val="00AD5738"/>
    <w:rsid w:val="00AD7542"/>
    <w:rsid w:val="00B0011C"/>
    <w:rsid w:val="00B013D3"/>
    <w:rsid w:val="00B04085"/>
    <w:rsid w:val="00B301EE"/>
    <w:rsid w:val="00B4534E"/>
    <w:rsid w:val="00B512ED"/>
    <w:rsid w:val="00B52718"/>
    <w:rsid w:val="00B53126"/>
    <w:rsid w:val="00B56E48"/>
    <w:rsid w:val="00B571EC"/>
    <w:rsid w:val="00B57C7A"/>
    <w:rsid w:val="00B601AA"/>
    <w:rsid w:val="00B6707D"/>
    <w:rsid w:val="00B673B1"/>
    <w:rsid w:val="00B73476"/>
    <w:rsid w:val="00B745D4"/>
    <w:rsid w:val="00B75D3E"/>
    <w:rsid w:val="00B8655D"/>
    <w:rsid w:val="00B87829"/>
    <w:rsid w:val="00B933AE"/>
    <w:rsid w:val="00BA116D"/>
    <w:rsid w:val="00BA6D2F"/>
    <w:rsid w:val="00BB2720"/>
    <w:rsid w:val="00BB3456"/>
    <w:rsid w:val="00BC1B2F"/>
    <w:rsid w:val="00BE2925"/>
    <w:rsid w:val="00BE5FBD"/>
    <w:rsid w:val="00BF54FA"/>
    <w:rsid w:val="00C05330"/>
    <w:rsid w:val="00C05FF9"/>
    <w:rsid w:val="00C1299E"/>
    <w:rsid w:val="00C27764"/>
    <w:rsid w:val="00C51F6D"/>
    <w:rsid w:val="00C5566B"/>
    <w:rsid w:val="00C6037B"/>
    <w:rsid w:val="00C63277"/>
    <w:rsid w:val="00C67B74"/>
    <w:rsid w:val="00C754BB"/>
    <w:rsid w:val="00C77447"/>
    <w:rsid w:val="00C90842"/>
    <w:rsid w:val="00C90EE2"/>
    <w:rsid w:val="00CB1B8E"/>
    <w:rsid w:val="00CB2CCB"/>
    <w:rsid w:val="00CB5AAA"/>
    <w:rsid w:val="00CC3225"/>
    <w:rsid w:val="00CE5487"/>
    <w:rsid w:val="00D0090E"/>
    <w:rsid w:val="00D15C9D"/>
    <w:rsid w:val="00D15E9D"/>
    <w:rsid w:val="00D16425"/>
    <w:rsid w:val="00D2558D"/>
    <w:rsid w:val="00D27647"/>
    <w:rsid w:val="00D356A5"/>
    <w:rsid w:val="00D3708E"/>
    <w:rsid w:val="00D37F96"/>
    <w:rsid w:val="00D5122C"/>
    <w:rsid w:val="00D630FA"/>
    <w:rsid w:val="00D63A20"/>
    <w:rsid w:val="00D774E3"/>
    <w:rsid w:val="00D8641B"/>
    <w:rsid w:val="00D94D64"/>
    <w:rsid w:val="00DA1254"/>
    <w:rsid w:val="00DB0734"/>
    <w:rsid w:val="00DB3EB1"/>
    <w:rsid w:val="00DB5E86"/>
    <w:rsid w:val="00DC692B"/>
    <w:rsid w:val="00DC71B0"/>
    <w:rsid w:val="00E20AF6"/>
    <w:rsid w:val="00E23A41"/>
    <w:rsid w:val="00E34E67"/>
    <w:rsid w:val="00E40A5B"/>
    <w:rsid w:val="00E66B7F"/>
    <w:rsid w:val="00E6793C"/>
    <w:rsid w:val="00E71317"/>
    <w:rsid w:val="00E72865"/>
    <w:rsid w:val="00E85DCA"/>
    <w:rsid w:val="00E8701E"/>
    <w:rsid w:val="00E93E5E"/>
    <w:rsid w:val="00E94CC4"/>
    <w:rsid w:val="00EA1DFF"/>
    <w:rsid w:val="00EB271C"/>
    <w:rsid w:val="00EB6910"/>
    <w:rsid w:val="00EC788E"/>
    <w:rsid w:val="00EF2760"/>
    <w:rsid w:val="00EF36CA"/>
    <w:rsid w:val="00F215D4"/>
    <w:rsid w:val="00F226C8"/>
    <w:rsid w:val="00F23FFF"/>
    <w:rsid w:val="00F5080C"/>
    <w:rsid w:val="00F64239"/>
    <w:rsid w:val="00F7524A"/>
    <w:rsid w:val="00F90C83"/>
    <w:rsid w:val="00F94C4B"/>
    <w:rsid w:val="00F97C99"/>
    <w:rsid w:val="00FA0CFA"/>
    <w:rsid w:val="00FA287B"/>
    <w:rsid w:val="00FA6CAC"/>
    <w:rsid w:val="00FB063C"/>
    <w:rsid w:val="00FD440A"/>
    <w:rsid w:val="00FD7A11"/>
    <w:rsid w:val="00FF6B17"/>
    <w:rsid w:val="0DCF4B81"/>
    <w:rsid w:val="1D9056BE"/>
    <w:rsid w:val="1E3D4859"/>
    <w:rsid w:val="2F3D5C2B"/>
    <w:rsid w:val="345F58F3"/>
    <w:rsid w:val="35604B84"/>
    <w:rsid w:val="5FFB4229"/>
    <w:rsid w:val="647D2A1A"/>
    <w:rsid w:val="65606B01"/>
    <w:rsid w:val="75BF4383"/>
    <w:rsid w:val="766050A9"/>
    <w:rsid w:val="790E7FD8"/>
    <w:rsid w:val="7B715CF2"/>
    <w:rsid w:val="7BD425D4"/>
    <w:rsid w:val="9F9B2EB1"/>
    <w:rsid w:val="F9FE7B4A"/>
    <w:rsid w:val="FDFFD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szCs w:val="22"/>
    </w:rPr>
  </w:style>
  <w:style w:type="paragraph" w:styleId="3">
    <w:name w:val="heading 2"/>
    <w:next w:val="1"/>
    <w:link w:val="20"/>
    <w:semiHidden/>
    <w:unhideWhenUsed/>
    <w:qFormat/>
    <w:uiPriority w:val="0"/>
    <w:pPr>
      <w:widowControl w:val="0"/>
      <w:spacing w:beforeLines="50" w:afterLines="50" w:line="300" w:lineRule="auto"/>
      <w:jc w:val="both"/>
      <w:outlineLvl w:val="1"/>
    </w:pPr>
    <w:rPr>
      <w:rFonts w:ascii="Times New Roman" w:hAnsi="Times New Roman" w:eastAsia="宋体" w:cs="Times New Roman"/>
      <w:color w:val="000000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link w:val="21"/>
    <w:unhideWhenUsed/>
    <w:qFormat/>
    <w:uiPriority w:val="0"/>
    <w:pPr>
      <w:autoSpaceDE w:val="0"/>
      <w:autoSpaceDN w:val="0"/>
      <w:spacing w:beforeLines="50" w:line="300" w:lineRule="auto"/>
    </w:pPr>
    <w:rPr>
      <w:rFonts w:ascii="宋体" w:hAnsi="宋体" w:cs="宋体"/>
      <w:kern w:val="0"/>
      <w:szCs w:val="21"/>
      <w:lang w:val="zh-CN" w:bidi="zh-CN"/>
    </w:r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MTConvertedEquation"/>
    <w:qFormat/>
    <w:uiPriority w:val="0"/>
    <w:rPr>
      <w:rFonts w:eastAsia="仿宋"/>
      <w:color w:val="000000"/>
      <w:sz w:val="24"/>
    </w:rPr>
  </w:style>
  <w:style w:type="paragraph" w:customStyle="1" w:styleId="13">
    <w:name w:val="MTDisplayEquation"/>
    <w:basedOn w:val="1"/>
    <w:next w:val="1"/>
    <w:link w:val="14"/>
    <w:qFormat/>
    <w:uiPriority w:val="0"/>
    <w:pPr>
      <w:tabs>
        <w:tab w:val="center" w:pos="4540"/>
        <w:tab w:val="right" w:pos="9080"/>
      </w:tabs>
      <w:spacing w:line="400" w:lineRule="exact"/>
    </w:pPr>
    <w:rPr>
      <w:rFonts w:eastAsia="仿宋"/>
      <w:color w:val="000000"/>
      <w:sz w:val="24"/>
      <w:lang w:val="zh-CN"/>
    </w:rPr>
  </w:style>
  <w:style w:type="character" w:customStyle="1" w:styleId="14">
    <w:name w:val="MTDisplayEquation Char"/>
    <w:link w:val="13"/>
    <w:qFormat/>
    <w:uiPriority w:val="0"/>
    <w:rPr>
      <w:rFonts w:ascii="Times New Roman" w:hAnsi="Times New Roman" w:eastAsia="仿宋"/>
      <w:color w:val="000000"/>
      <w:kern w:val="2"/>
      <w:sz w:val="24"/>
      <w:szCs w:val="24"/>
    </w:rPr>
  </w:style>
  <w:style w:type="paragraph" w:customStyle="1" w:styleId="15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批注框文本 Char"/>
    <w:basedOn w:val="10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styleId="17">
    <w:name w:val="Placeholder Text"/>
    <w:basedOn w:val="10"/>
    <w:unhideWhenUsed/>
    <w:qFormat/>
    <w:uiPriority w:val="99"/>
    <w:rPr>
      <w:color w:val="808080"/>
    </w:rPr>
  </w:style>
  <w:style w:type="character" w:customStyle="1" w:styleId="18">
    <w:name w:val="页脚 Char"/>
    <w:basedOn w:val="10"/>
    <w:link w:val="7"/>
    <w:qFormat/>
    <w:uiPriority w:val="99"/>
    <w:rPr>
      <w:rFonts w:ascii="Times New Roman" w:hAnsi="Times New Roman"/>
      <w:kern w:val="2"/>
      <w:sz w:val="18"/>
      <w:szCs w:val="24"/>
    </w:rPr>
  </w:style>
  <w:style w:type="character" w:customStyle="1" w:styleId="19">
    <w:name w:val="标题 1 Char"/>
    <w:basedOn w:val="10"/>
    <w:link w:val="2"/>
    <w:qFormat/>
    <w:uiPriority w:val="0"/>
    <w:rPr>
      <w:b/>
      <w:kern w:val="44"/>
      <w:sz w:val="44"/>
      <w:szCs w:val="22"/>
    </w:rPr>
  </w:style>
  <w:style w:type="character" w:customStyle="1" w:styleId="20">
    <w:name w:val="标题 2 Char"/>
    <w:basedOn w:val="10"/>
    <w:link w:val="3"/>
    <w:semiHidden/>
    <w:qFormat/>
    <w:uiPriority w:val="0"/>
    <w:rPr>
      <w:rFonts w:ascii="Times New Roman" w:hAnsi="Times New Roman"/>
      <w:color w:val="000000"/>
      <w:kern w:val="2"/>
      <w:sz w:val="21"/>
      <w:szCs w:val="21"/>
    </w:rPr>
  </w:style>
  <w:style w:type="character" w:customStyle="1" w:styleId="21">
    <w:name w:val="正文文本 Char"/>
    <w:basedOn w:val="10"/>
    <w:link w:val="5"/>
    <w:qFormat/>
    <w:uiPriority w:val="0"/>
    <w:rPr>
      <w:rFonts w:ascii="宋体" w:hAnsi="宋体" w:cs="宋体"/>
      <w:sz w:val="21"/>
      <w:szCs w:val="21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840</Words>
  <Characters>4789</Characters>
  <Lines>39</Lines>
  <Paragraphs>11</Paragraphs>
  <TotalTime>86</TotalTime>
  <ScaleCrop>false</ScaleCrop>
  <LinksUpToDate>false</LinksUpToDate>
  <CharactersWithSpaces>5618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2025-04-17T08:31:00Z</dcterms:created>
  <dc:creator>陈国庆</dc:creator>
  <cp:lastModifiedBy>chenzd</cp:lastModifiedBy>
  <cp:lastPrinted>2025-05-07T19:10:00Z</cp:lastPrinted>
  <dcterms:modified xsi:type="dcterms:W3CDTF">2025-05-07T14:37:13Z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MTWinEqns">
    <vt:bool>true</vt:bool>
  </property>
  <property fmtid="{D5CDD505-2E9C-101B-9397-08002B2CF9AE}" pid="4" name="ICV">
    <vt:lpwstr>1B63B978CCD0AB6F99FF1A68C6ACBC75</vt:lpwstr>
  </property>
  <property fmtid="{D5CDD505-2E9C-101B-9397-08002B2CF9AE}" pid="5" name="KSOTemplateDocerSaveRecord">
    <vt:lpwstr>eyJoZGlkIjoiYTE0Y2FjOTQ5ZDQzODA5OTc1MzE3YzdmOGM4MzU3ZDEiLCJ1c2VySWQiOiIxMTc0NzMwMTUyIn0=</vt:lpwstr>
  </property>
</Properties>
</file>