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3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4945"/>
        <w:gridCol w:w="7419"/>
      </w:tblGrid>
      <w:tr w14:paraId="6C61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8" w:type="dxa"/>
            <w:tcBorders>
              <w:top w:val="nil"/>
              <w:left w:val="nil"/>
              <w:bottom w:val="nil"/>
              <w:right w:val="nil"/>
            </w:tcBorders>
            <w:noWrap/>
            <w:vAlign w:val="center"/>
          </w:tcPr>
          <w:p w14:paraId="36631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w:t>
            </w:r>
          </w:p>
        </w:tc>
        <w:tc>
          <w:tcPr>
            <w:tcW w:w="4945" w:type="dxa"/>
            <w:tcBorders>
              <w:top w:val="nil"/>
              <w:left w:val="nil"/>
              <w:bottom w:val="nil"/>
              <w:right w:val="nil"/>
            </w:tcBorders>
            <w:noWrap/>
            <w:vAlign w:val="center"/>
          </w:tcPr>
          <w:p w14:paraId="171C44D2">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8"/>
                <w:szCs w:val="28"/>
                <w:u w:val="none"/>
              </w:rPr>
            </w:pPr>
          </w:p>
        </w:tc>
        <w:tc>
          <w:tcPr>
            <w:tcW w:w="7419" w:type="dxa"/>
            <w:tcBorders>
              <w:top w:val="nil"/>
              <w:left w:val="nil"/>
              <w:bottom w:val="nil"/>
              <w:right w:val="nil"/>
            </w:tcBorders>
            <w:noWrap w:val="0"/>
            <w:vAlign w:val="center"/>
          </w:tcPr>
          <w:p w14:paraId="1FCD16B6">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color w:val="000000"/>
                <w:sz w:val="28"/>
                <w:szCs w:val="28"/>
                <w:u w:val="none"/>
              </w:rPr>
            </w:pPr>
          </w:p>
        </w:tc>
      </w:tr>
      <w:tr w14:paraId="5106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13372" w:type="dxa"/>
            <w:gridSpan w:val="3"/>
            <w:tcBorders>
              <w:top w:val="nil"/>
              <w:left w:val="nil"/>
              <w:bottom w:val="nil"/>
              <w:right w:val="nil"/>
            </w:tcBorders>
            <w:noWrap/>
            <w:vAlign w:val="center"/>
          </w:tcPr>
          <w:p w14:paraId="724AF7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内蒙古自治区</w:t>
            </w:r>
            <w:bookmarkStart w:id="0" w:name="_GoBack"/>
            <w:bookmarkEnd w:id="0"/>
            <w:r>
              <w:rPr>
                <w:rFonts w:hint="eastAsia" w:ascii="方正小标宋简体" w:hAnsi="方正小标宋简体" w:eastAsia="方正小标宋简体" w:cs="方正小标宋简体"/>
                <w:i w:val="0"/>
                <w:color w:val="000000"/>
                <w:kern w:val="0"/>
                <w:sz w:val="44"/>
                <w:szCs w:val="44"/>
                <w:u w:val="none"/>
                <w:lang w:val="en-US" w:eastAsia="zh-CN" w:bidi="ar"/>
              </w:rPr>
              <w:t>违法违规使用医疗保障基金责任类型认定</w:t>
            </w:r>
          </w:p>
        </w:tc>
      </w:tr>
      <w:tr w14:paraId="69B0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53F65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5ACEE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违法违规类型</w:t>
            </w:r>
          </w:p>
        </w:tc>
        <w:tc>
          <w:tcPr>
            <w:tcW w:w="7419" w:type="dxa"/>
            <w:tcBorders>
              <w:top w:val="single" w:color="000000" w:sz="4" w:space="0"/>
              <w:left w:val="single" w:color="000000" w:sz="4" w:space="0"/>
              <w:bottom w:val="single" w:color="000000" w:sz="4" w:space="0"/>
              <w:right w:val="single" w:color="000000" w:sz="4" w:space="0"/>
            </w:tcBorders>
            <w:noWrap w:val="0"/>
            <w:vAlign w:val="center"/>
          </w:tcPr>
          <w:p w14:paraId="3CB91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责任认定</w:t>
            </w:r>
          </w:p>
        </w:tc>
      </w:tr>
      <w:tr w14:paraId="52D5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2610C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500743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违反诊疗规范过度诊疗、过度检查、分解处方、超量开药、重复开药或者提供其他不必要的医药服务</w:t>
            </w:r>
          </w:p>
        </w:tc>
        <w:tc>
          <w:tcPr>
            <w:tcW w:w="7419" w:type="dxa"/>
            <w:tcBorders>
              <w:top w:val="single" w:color="000000" w:sz="4" w:space="0"/>
              <w:left w:val="single" w:color="000000" w:sz="4" w:space="0"/>
              <w:bottom w:val="single" w:color="000000" w:sz="4" w:space="0"/>
              <w:right w:val="single" w:color="000000" w:sz="4" w:space="0"/>
            </w:tcBorders>
            <w:noWrap w:val="0"/>
            <w:vAlign w:val="center"/>
          </w:tcPr>
          <w:p w14:paraId="4327E6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医生出现某类违法违规行为，原则上由开具医嘱、处方的医生承担一般责任；医疗组内有多人出现某类违法违规行为，则由医疗组长承担一般责任；病区内2个及以上医疗组的医生都出现某类违法违规行为，则由病区主任承担一般责任。</w:t>
            </w:r>
          </w:p>
        </w:tc>
      </w:tr>
      <w:tr w14:paraId="692F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358D1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62F89F0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重复收费、超标准收费、分解项目收费</w:t>
            </w:r>
          </w:p>
        </w:tc>
        <w:tc>
          <w:tcPr>
            <w:tcW w:w="7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2EF6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根据医嘱收的费，造成医保基金损失的，原则上由开具医嘱、处方的医生承担一般责任；医疗组内多人出现某类违法违规行为，则由医疗组长承担一般责任；病区内有2个及以上医疗组的医生都出现某类违法违规行为，则由病区主任承担一般责任。2.违反医嘱或无医嘱收的费，造成医保基金损失的，如果仅1名计费员出现某类违法违规行为，则由该计费人员承担一般责任；病区内如果有2名及以上计费员出现某类违法违规行为，则由病区护士长承担一般责任。</w:t>
            </w:r>
          </w:p>
        </w:tc>
      </w:tr>
      <w:tr w14:paraId="3E99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1D9E1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008248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串换药品、医用耗材、诊疗项目和服务设施</w:t>
            </w:r>
          </w:p>
        </w:tc>
        <w:tc>
          <w:tcPr>
            <w:tcW w:w="7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23AAE">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color w:val="000000"/>
                <w:sz w:val="28"/>
                <w:szCs w:val="28"/>
                <w:u w:val="none"/>
              </w:rPr>
            </w:pPr>
          </w:p>
        </w:tc>
      </w:tr>
      <w:tr w14:paraId="6D5F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10291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65B9A8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将不属于医疗保障基金支付范围的医药费用纳入医疗保障基金结算</w:t>
            </w:r>
          </w:p>
        </w:tc>
        <w:tc>
          <w:tcPr>
            <w:tcW w:w="7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7B264">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color w:val="000000"/>
                <w:sz w:val="28"/>
                <w:szCs w:val="28"/>
                <w:u w:val="none"/>
              </w:rPr>
            </w:pPr>
          </w:p>
        </w:tc>
      </w:tr>
      <w:tr w14:paraId="5EE0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09BC6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419052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分解住院</w:t>
            </w:r>
          </w:p>
        </w:tc>
        <w:tc>
          <w:tcPr>
            <w:tcW w:w="7419" w:type="dxa"/>
            <w:tcBorders>
              <w:top w:val="single" w:color="000000" w:sz="4" w:space="0"/>
              <w:left w:val="single" w:color="000000" w:sz="4" w:space="0"/>
              <w:bottom w:val="single" w:color="000000" w:sz="4" w:space="0"/>
              <w:right w:val="single" w:color="000000" w:sz="4" w:space="0"/>
            </w:tcBorders>
            <w:noWrap/>
            <w:vAlign w:val="center"/>
          </w:tcPr>
          <w:p w14:paraId="4CB505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由开具出院医嘱的医生承担一般责任。</w:t>
            </w:r>
          </w:p>
        </w:tc>
      </w:tr>
      <w:tr w14:paraId="11D6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7683B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1524D9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挂床住院</w:t>
            </w:r>
          </w:p>
        </w:tc>
        <w:tc>
          <w:tcPr>
            <w:tcW w:w="7419" w:type="dxa"/>
            <w:tcBorders>
              <w:top w:val="single" w:color="000000" w:sz="4" w:space="0"/>
              <w:left w:val="single" w:color="000000" w:sz="4" w:space="0"/>
              <w:bottom w:val="single" w:color="000000" w:sz="4" w:space="0"/>
              <w:right w:val="single" w:color="000000" w:sz="4" w:space="0"/>
            </w:tcBorders>
            <w:noWrap/>
            <w:vAlign w:val="center"/>
          </w:tcPr>
          <w:p w14:paraId="7BEC0FE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由开具出院医嘱的医生承担一般责任。</w:t>
            </w:r>
          </w:p>
        </w:tc>
      </w:tr>
      <w:tr w14:paraId="55FF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08160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0696D7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为参保人员利用其享受医疗保障待遇的机会转卖药品，接受返还现金、实物或者获得其他非法利益提供便利</w:t>
            </w:r>
          </w:p>
        </w:tc>
        <w:tc>
          <w:tcPr>
            <w:tcW w:w="7419" w:type="dxa"/>
            <w:tcBorders>
              <w:top w:val="single" w:color="000000" w:sz="4" w:space="0"/>
              <w:left w:val="single" w:color="000000" w:sz="4" w:space="0"/>
              <w:bottom w:val="single" w:color="000000" w:sz="4" w:space="0"/>
              <w:right w:val="single" w:color="000000" w:sz="4" w:space="0"/>
            </w:tcBorders>
            <w:noWrap w:val="0"/>
            <w:vAlign w:val="center"/>
          </w:tcPr>
          <w:p w14:paraId="4CB010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根据开具医嘱、处方的医生对此违法违规行为起的作用大小，作出一般责任、重要责任或主要责任认定。</w:t>
            </w:r>
          </w:p>
        </w:tc>
      </w:tr>
      <w:tr w14:paraId="46AF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405FD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1530F4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造成医保基金损失的其他违法违规行为</w:t>
            </w:r>
          </w:p>
        </w:tc>
        <w:tc>
          <w:tcPr>
            <w:tcW w:w="7419" w:type="dxa"/>
            <w:tcBorders>
              <w:top w:val="single" w:color="000000" w:sz="4" w:space="0"/>
              <w:left w:val="single" w:color="000000" w:sz="4" w:space="0"/>
              <w:bottom w:val="single" w:color="000000" w:sz="4" w:space="0"/>
              <w:right w:val="single" w:color="000000" w:sz="4" w:space="0"/>
            </w:tcBorders>
            <w:noWrap w:val="0"/>
            <w:vAlign w:val="center"/>
          </w:tcPr>
          <w:p w14:paraId="63784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根据开具医嘱、处方的医生对此违法违规行为起的作用大小，作出一般责任、重要责任或主要责任认定。</w:t>
            </w:r>
          </w:p>
        </w:tc>
      </w:tr>
      <w:tr w14:paraId="5ED4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7FC5E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7640116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诱导、协助他人冒名或者虚假就医、购药，提供虚假证明材料，或者串通他人虚开费用单据</w:t>
            </w:r>
          </w:p>
        </w:tc>
        <w:tc>
          <w:tcPr>
            <w:tcW w:w="74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7C08B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单位内仅1-2人出现某类欺诈骗保行为，则由相关人员承担主要责任；单位内3人及以上出现某类欺诈骗保行为，则由相关人员承担一般责任，部门负责人承担重要责任，单位法人代表承担主要责任。</w:t>
            </w:r>
          </w:p>
        </w:tc>
      </w:tr>
      <w:tr w14:paraId="3065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6B140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55E663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伪造、变造、隐匿、涂改、销毁医学文书、医学证明、会计凭证、电子信息等有关资料</w:t>
            </w:r>
          </w:p>
        </w:tc>
        <w:tc>
          <w:tcPr>
            <w:tcW w:w="7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68C7B">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color w:val="000000"/>
                <w:sz w:val="28"/>
                <w:szCs w:val="28"/>
                <w:u w:val="none"/>
              </w:rPr>
            </w:pPr>
          </w:p>
        </w:tc>
      </w:tr>
      <w:tr w14:paraId="19F7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653FF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2E186D7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虚构医药服务项目</w:t>
            </w:r>
          </w:p>
        </w:tc>
        <w:tc>
          <w:tcPr>
            <w:tcW w:w="7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0AFB2">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color w:val="000000"/>
                <w:sz w:val="28"/>
                <w:szCs w:val="28"/>
                <w:u w:val="none"/>
              </w:rPr>
            </w:pPr>
          </w:p>
        </w:tc>
      </w:tr>
      <w:tr w14:paraId="7207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18589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0E3828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其他骗取医疗保障基金支出的行为</w:t>
            </w:r>
          </w:p>
        </w:tc>
        <w:tc>
          <w:tcPr>
            <w:tcW w:w="74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20CD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仿宋"/>
                <w:i w:val="0"/>
                <w:color w:val="000000"/>
                <w:sz w:val="28"/>
                <w:szCs w:val="28"/>
                <w:u w:val="none"/>
              </w:rPr>
            </w:pPr>
          </w:p>
        </w:tc>
      </w:tr>
      <w:tr w14:paraId="32AA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3891E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7BD9DB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执行药品耗材集中带量采购政策中，公立医疗机构相关人员无正当理由超过规定要求使用高价非中选产品，被医保部门通报的</w:t>
            </w:r>
          </w:p>
        </w:tc>
        <w:tc>
          <w:tcPr>
            <w:tcW w:w="7419" w:type="dxa"/>
            <w:tcBorders>
              <w:top w:val="single" w:color="000000" w:sz="4" w:space="0"/>
              <w:left w:val="single" w:color="000000" w:sz="4" w:space="0"/>
              <w:bottom w:val="single" w:color="000000" w:sz="4" w:space="0"/>
              <w:right w:val="single" w:color="000000" w:sz="4" w:space="0"/>
            </w:tcBorders>
            <w:noWrap/>
            <w:vAlign w:val="center"/>
          </w:tcPr>
          <w:p w14:paraId="164621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根据相关人员对此违规行为起的作用大小，分别作出一般责任、重要责任和主要责任认定。</w:t>
            </w:r>
          </w:p>
        </w:tc>
      </w:tr>
      <w:tr w14:paraId="5039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23273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1678C9C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为非登记备案相关人员，或登记备案状态为暂停、终止的相关责任人员冒名提供医保费用结算的</w:t>
            </w:r>
          </w:p>
        </w:tc>
        <w:tc>
          <w:tcPr>
            <w:tcW w:w="7419" w:type="dxa"/>
            <w:tcBorders>
              <w:top w:val="single" w:color="000000" w:sz="4" w:space="0"/>
              <w:left w:val="single" w:color="000000" w:sz="4" w:space="0"/>
              <w:bottom w:val="single" w:color="000000" w:sz="4" w:space="0"/>
              <w:right w:val="single" w:color="000000" w:sz="4" w:space="0"/>
            </w:tcBorders>
            <w:noWrap/>
            <w:vAlign w:val="center"/>
          </w:tcPr>
          <w:p w14:paraId="7A7764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根据相关人员对此违规行为起的作用大小，分别作出一般责任、重要责任和主要责任认定。</w:t>
            </w:r>
          </w:p>
        </w:tc>
      </w:tr>
      <w:tr w14:paraId="72BC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4893F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056086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相关人员对医保部门组织的自查自纠、敷衍应付，对已提供的清单问题不主动自查整改的</w:t>
            </w:r>
          </w:p>
        </w:tc>
        <w:tc>
          <w:tcPr>
            <w:tcW w:w="7419" w:type="dxa"/>
            <w:tcBorders>
              <w:top w:val="single" w:color="000000" w:sz="4" w:space="0"/>
              <w:left w:val="single" w:color="000000" w:sz="4" w:space="0"/>
              <w:bottom w:val="single" w:color="000000" w:sz="4" w:space="0"/>
              <w:right w:val="single" w:color="000000" w:sz="4" w:space="0"/>
            </w:tcBorders>
            <w:noWrap/>
            <w:vAlign w:val="center"/>
          </w:tcPr>
          <w:p w14:paraId="712C9E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根据相关人员对此违规行为起的作用大小，分别作出一般责任、重要责任和主要责任认定。</w:t>
            </w:r>
          </w:p>
        </w:tc>
      </w:tr>
      <w:tr w14:paraId="3069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4A4A6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465EFF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相关人员所在定点医疗机构或病区涉及违反医疗保障相关法律、法规，受到医疗保障行政部门依据条例第三十八条作出责令改正，负有责任的相关人员拒不改正的</w:t>
            </w:r>
          </w:p>
        </w:tc>
        <w:tc>
          <w:tcPr>
            <w:tcW w:w="7419" w:type="dxa"/>
            <w:tcBorders>
              <w:top w:val="single" w:color="000000" w:sz="4" w:space="0"/>
              <w:left w:val="single" w:color="000000" w:sz="4" w:space="0"/>
              <w:bottom w:val="single" w:color="000000" w:sz="4" w:space="0"/>
              <w:right w:val="single" w:color="000000" w:sz="4" w:space="0"/>
            </w:tcBorders>
            <w:noWrap/>
            <w:vAlign w:val="center"/>
          </w:tcPr>
          <w:p w14:paraId="05CD87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根据相关人员对此违规行为起的作用大小，分别作出一般责任、重要责任和主要责任认定。</w:t>
            </w:r>
          </w:p>
        </w:tc>
      </w:tr>
      <w:tr w14:paraId="3985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008" w:type="dxa"/>
            <w:tcBorders>
              <w:top w:val="single" w:color="000000" w:sz="4" w:space="0"/>
              <w:left w:val="single" w:color="000000" w:sz="4" w:space="0"/>
              <w:bottom w:val="single" w:color="000000" w:sz="4" w:space="0"/>
              <w:right w:val="single" w:color="000000" w:sz="4" w:space="0"/>
            </w:tcBorders>
            <w:noWrap/>
            <w:vAlign w:val="center"/>
          </w:tcPr>
          <w:p w14:paraId="0A422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4945" w:type="dxa"/>
            <w:tcBorders>
              <w:top w:val="single" w:color="000000" w:sz="4" w:space="0"/>
              <w:left w:val="single" w:color="000000" w:sz="4" w:space="0"/>
              <w:bottom w:val="single" w:color="000000" w:sz="4" w:space="0"/>
              <w:right w:val="single" w:color="000000" w:sz="4" w:space="0"/>
            </w:tcBorders>
            <w:noWrap/>
            <w:vAlign w:val="center"/>
          </w:tcPr>
          <w:p w14:paraId="619C64E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相关人员所在定点医药机构涉及违反医疗保障相关法律、法规，受到医疗保障行政部门依据条例第三十九条作出行政处罚</w:t>
            </w:r>
          </w:p>
        </w:tc>
        <w:tc>
          <w:tcPr>
            <w:tcW w:w="7419" w:type="dxa"/>
            <w:tcBorders>
              <w:top w:val="single" w:color="000000" w:sz="4" w:space="0"/>
              <w:left w:val="single" w:color="000000" w:sz="4" w:space="0"/>
              <w:bottom w:val="single" w:color="000000" w:sz="4" w:space="0"/>
              <w:right w:val="single" w:color="000000" w:sz="4" w:space="0"/>
            </w:tcBorders>
            <w:noWrap/>
            <w:vAlign w:val="center"/>
          </w:tcPr>
          <w:p w14:paraId="26F6AA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根据相关人员对此违法行为起的作用大小，分别做出一般责任、重要责任和主要责任认定。</w:t>
            </w:r>
          </w:p>
        </w:tc>
      </w:tr>
      <w:tr w14:paraId="184C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72" w:type="dxa"/>
            <w:gridSpan w:val="3"/>
            <w:tcBorders>
              <w:top w:val="nil"/>
              <w:left w:val="nil"/>
              <w:bottom w:val="nil"/>
              <w:right w:val="nil"/>
            </w:tcBorders>
            <w:noWrap/>
            <w:vAlign w:val="center"/>
          </w:tcPr>
          <w:p w14:paraId="4AF9AC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楷体" w:hAnsi="楷体" w:eastAsia="楷体" w:cs="楷体"/>
                <w:b w:val="0"/>
                <w:bCs/>
                <w:i w:val="0"/>
                <w:color w:val="000000"/>
                <w:sz w:val="28"/>
                <w:szCs w:val="28"/>
                <w:u w:val="none"/>
              </w:rPr>
            </w:pPr>
            <w:r>
              <w:rPr>
                <w:rFonts w:hint="eastAsia" w:ascii="楷体" w:hAnsi="楷体" w:eastAsia="楷体" w:cs="楷体"/>
                <w:b w:val="0"/>
                <w:bCs/>
                <w:i w:val="0"/>
                <w:color w:val="000000"/>
                <w:kern w:val="0"/>
                <w:sz w:val="28"/>
                <w:szCs w:val="28"/>
                <w:u w:val="none"/>
                <w:lang w:val="en-US" w:eastAsia="zh-CN" w:bidi="ar"/>
              </w:rPr>
              <w:t>备注：定点零售药店违法违规使用医保基金责任类型认定参考执行</w:t>
            </w:r>
          </w:p>
        </w:tc>
      </w:tr>
    </w:tbl>
    <w:p w14:paraId="358D6543">
      <w:pPr>
        <w:keepNext w:val="0"/>
        <w:keepLines w:val="0"/>
        <w:pageBreakBefore w:val="0"/>
        <w:widowControl w:val="0"/>
        <w:kinsoku/>
        <w:wordWrap/>
        <w:overflowPunct/>
        <w:topLinePunct w:val="0"/>
        <w:autoSpaceDE/>
        <w:autoSpaceDN/>
        <w:bidi w:val="0"/>
        <w:adjustRightInd/>
        <w:snapToGrid/>
        <w:jc w:val="both"/>
        <w:textAlignment w:val="auto"/>
        <w:outlineLvl w:val="9"/>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56D7FD-FE27-48E5-8261-91FAEA03E9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8D5161-3A65-413D-BDAA-78EDC61737DA}"/>
  </w:font>
  <w:font w:name="方正小标宋简体">
    <w:panose1 w:val="02000000000000000000"/>
    <w:charset w:val="86"/>
    <w:family w:val="auto"/>
    <w:pitch w:val="default"/>
    <w:sig w:usb0="00000001" w:usb1="08000000" w:usb2="00000000" w:usb3="00000000" w:csb0="00040000" w:csb1="00000000"/>
    <w:embedRegular r:id="rId3" w:fontKey="{41FE4B6C-8CC8-46FD-B6BB-D0F3B7C9164D}"/>
  </w:font>
  <w:font w:name="仿宋">
    <w:panose1 w:val="02010609060101010101"/>
    <w:charset w:val="86"/>
    <w:family w:val="auto"/>
    <w:pitch w:val="default"/>
    <w:sig w:usb0="800002BF" w:usb1="38CF7CFA" w:usb2="00000016" w:usb3="00000000" w:csb0="00040001" w:csb1="00000000"/>
    <w:embedRegular r:id="rId4" w:fontKey="{3D75099C-3F66-4586-89F6-BAF540C376C4}"/>
  </w:font>
  <w:font w:name="楷体">
    <w:panose1 w:val="02010609060101010101"/>
    <w:charset w:val="86"/>
    <w:family w:val="auto"/>
    <w:pitch w:val="default"/>
    <w:sig w:usb0="800002BF" w:usb1="38CF7CFA" w:usb2="00000016" w:usb3="00000000" w:csb0="00040001" w:csb1="00000000"/>
    <w:embedRegular r:id="rId5" w:fontKey="{700256F9-2831-47ED-91C8-366DECE5D58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6C4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DD5E7">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B0DD5E7">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DC44">
    <w:pPr>
      <w:pStyle w:val="5"/>
      <w:pBdr>
        <w:bottom w:val="none" w:color="auto" w:sz="0" w:space="1"/>
      </w:pBdr>
      <w:rPr>
        <w:rFonts w:hint="eastAsia" w:eastAsia="宋体"/>
        <w:lang w:eastAsia="zh-CN"/>
      </w:rPr>
    </w:pPr>
  </w:p>
  <w:p w14:paraId="0B72015E">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63AB6"/>
    <w:rsid w:val="5B663AB6"/>
    <w:rsid w:val="5E843D1D"/>
    <w:rsid w:val="72075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szCs w:val="22"/>
    </w:rPr>
  </w:style>
  <w:style w:type="paragraph" w:styleId="3">
    <w:name w:val="Body Text"/>
    <w:basedOn w:val="1"/>
    <w:next w:val="2"/>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2025-02-28T08:08:00Z</dcterms:created>
  <dc:creator>段段</dc:creator>
  <cp:lastModifiedBy>段段</cp:lastModifiedBy>
  <dcterms:modified xsi:type="dcterms:W3CDTF">2025-02-28T08:09:42Z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98BF35FB01884E37A94DBCFC3935EA51_11</vt:lpwstr>
  </property>
  <property fmtid="{D5CDD505-2E9C-101B-9397-08002B2CF9AE}" pid="4" name="KSOTemplateDocerSaveRecord">
    <vt:lpwstr>eyJoZGlkIjoiZTkxZGY0Y2ZhNDM0MWFjOTI3OGJmYzFhYjJhNTE4YzUiLCJ1c2VySWQiOiI3NTgxNjg2MjcifQ==</vt:lpwstr>
  </property>
</Properties>
</file>